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3256E" w14:textId="64F998F8" w:rsidR="00437FC6" w:rsidRPr="004A0AC8" w:rsidRDefault="004E65EC" w:rsidP="004A0AC8">
      <w:pPr>
        <w:jc w:val="center"/>
        <w:rPr>
          <w:b/>
        </w:rPr>
      </w:pPr>
      <w:r>
        <w:rPr>
          <w:b/>
        </w:rPr>
        <w:t xml:space="preserve">2014-2015 </w:t>
      </w:r>
      <w:r w:rsidR="00437FC6" w:rsidRPr="00F83DDE">
        <w:rPr>
          <w:b/>
        </w:rPr>
        <w:t>General Education Assessment Report</w:t>
      </w:r>
    </w:p>
    <w:p w14:paraId="1F3FAE13" w14:textId="239F3275" w:rsidR="00F83DDE" w:rsidRDefault="00437FC6" w:rsidP="00437FC6">
      <w:pPr>
        <w:spacing w:after="0"/>
      </w:pPr>
      <w:r w:rsidRPr="00411A0E">
        <w:rPr>
          <w:i/>
          <w:u w:val="single"/>
        </w:rPr>
        <w:t>Instructions:</w:t>
      </w:r>
      <w:r w:rsidR="004E65EC">
        <w:t xml:space="preserve"> </w:t>
      </w:r>
      <w:r w:rsidRPr="00F31DB5">
        <w:t xml:space="preserve">Prior to completing this report, the department samples and summarizes results from the assignments or performance observations identified to assess student learning outcomes across all sections of the general education course. Based on your results, please complete the table and questions below for the general education outcomes that </w:t>
      </w:r>
      <w:r w:rsidR="004E65EC">
        <w:t xml:space="preserve">most closely </w:t>
      </w:r>
      <w:r w:rsidRPr="00F31DB5">
        <w:t>align with your course.</w:t>
      </w:r>
    </w:p>
    <w:p w14:paraId="1D961531" w14:textId="77777777" w:rsidR="00C66F8C" w:rsidRDefault="00C66F8C" w:rsidP="00E27134">
      <w:pPr>
        <w:rPr>
          <w:b/>
        </w:rPr>
        <w:sectPr w:rsidR="00C66F8C" w:rsidSect="00EF79DC">
          <w:headerReference w:type="default" r:id="rId7"/>
          <w:footerReference w:type="default" r:id="rId8"/>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page" w:tblpX="1189" w:tblpY="3241"/>
        <w:tblW w:w="13878" w:type="dxa"/>
        <w:tblLayout w:type="fixed"/>
        <w:tblLook w:val="04A0" w:firstRow="1" w:lastRow="0" w:firstColumn="1" w:lastColumn="0" w:noHBand="0" w:noVBand="1"/>
      </w:tblPr>
      <w:tblGrid>
        <w:gridCol w:w="3528"/>
        <w:gridCol w:w="3870"/>
        <w:gridCol w:w="3150"/>
        <w:gridCol w:w="1170"/>
        <w:gridCol w:w="1080"/>
        <w:gridCol w:w="1080"/>
      </w:tblGrid>
      <w:tr w:rsidR="00BE405E" w14:paraId="6B4E99CF" w14:textId="77777777" w:rsidTr="00C66F8C">
        <w:trPr>
          <w:cantSplit/>
        </w:trPr>
        <w:tc>
          <w:tcPr>
            <w:tcW w:w="10548" w:type="dxa"/>
            <w:gridSpan w:val="3"/>
          </w:tcPr>
          <w:p w14:paraId="21DB886A" w14:textId="76B2C19E" w:rsidR="00BE405E" w:rsidRDefault="00BE405E" w:rsidP="00BE405E">
            <w:pPr>
              <w:rPr>
                <w:b/>
              </w:rPr>
            </w:pPr>
            <w:r>
              <w:rPr>
                <w:b/>
              </w:rPr>
              <w:t>Department Name:</w:t>
            </w:r>
            <w:r w:rsidR="004E65EC">
              <w:rPr>
                <w:b/>
              </w:rPr>
              <w:t xml:space="preserve"> </w:t>
            </w:r>
          </w:p>
          <w:p w14:paraId="7E0D1EE0" w14:textId="14FBED67" w:rsidR="00BE405E" w:rsidRPr="004E65EC" w:rsidRDefault="00BE405E" w:rsidP="00BE405E"/>
        </w:tc>
        <w:tc>
          <w:tcPr>
            <w:tcW w:w="3330" w:type="dxa"/>
            <w:gridSpan w:val="3"/>
          </w:tcPr>
          <w:p w14:paraId="58666572" w14:textId="44020DD1" w:rsidR="00BE405E" w:rsidRPr="00437FC6" w:rsidRDefault="00BE405E" w:rsidP="00BE405E">
            <w:pPr>
              <w:rPr>
                <w:b/>
                <w:lang w:eastAsia="x-none"/>
              </w:rPr>
            </w:pPr>
            <w:r w:rsidRPr="00437FC6">
              <w:rPr>
                <w:b/>
                <w:lang w:eastAsia="x-none"/>
              </w:rPr>
              <w:t>Semester</w:t>
            </w:r>
            <w:r w:rsidR="00C66F8C">
              <w:rPr>
                <w:b/>
                <w:lang w:eastAsia="x-none"/>
              </w:rPr>
              <w:t>(s)</w:t>
            </w:r>
            <w:r>
              <w:rPr>
                <w:b/>
                <w:lang w:eastAsia="x-none"/>
              </w:rPr>
              <w:t xml:space="preserve"> course </w:t>
            </w:r>
            <w:r w:rsidR="004E65EC">
              <w:rPr>
                <w:b/>
                <w:lang w:eastAsia="x-none"/>
              </w:rPr>
              <w:t xml:space="preserve">was </w:t>
            </w:r>
            <w:r>
              <w:rPr>
                <w:b/>
                <w:lang w:eastAsia="x-none"/>
              </w:rPr>
              <w:t>taught</w:t>
            </w:r>
            <w:r w:rsidRPr="00437FC6">
              <w:rPr>
                <w:b/>
                <w:lang w:eastAsia="x-none"/>
              </w:rPr>
              <w:t xml:space="preserve">: </w:t>
            </w:r>
            <w:r>
              <w:rPr>
                <w:b/>
                <w:lang w:eastAsia="x-none"/>
              </w:rPr>
              <w:br/>
            </w:r>
            <w:r w:rsidRPr="000E2ECD">
              <w:rPr>
                <w:rFonts w:ascii="Menlo Regular" w:eastAsia="MS Gothic" w:hAnsi="Menlo Regular" w:cs="Menlo Regular"/>
                <w:color w:val="000000"/>
                <w:sz w:val="28"/>
                <w:szCs w:val="28"/>
              </w:rPr>
              <w:t xml:space="preserve"> ☐</w:t>
            </w:r>
            <w:r>
              <w:rPr>
                <w:rFonts w:ascii="Menlo Regular" w:eastAsia="MS Gothic" w:hAnsi="Menlo Regular" w:cs="Menlo Regular"/>
                <w:color w:val="000000"/>
              </w:rPr>
              <w:t xml:space="preserve"> </w:t>
            </w:r>
            <w:r w:rsidRPr="00437FC6">
              <w:rPr>
                <w:b/>
                <w:lang w:eastAsia="x-none"/>
              </w:rPr>
              <w:t>Fall 2014</w:t>
            </w:r>
            <w:r>
              <w:rPr>
                <w:b/>
                <w:lang w:eastAsia="x-none"/>
              </w:rPr>
              <w:t xml:space="preserve">   </w:t>
            </w:r>
            <w:r w:rsidRPr="007315B6">
              <w:rPr>
                <w:rFonts w:ascii="Menlo Regular" w:eastAsia="MS Gothic" w:hAnsi="Menlo Regular" w:cs="Menlo Regular"/>
                <w:color w:val="000000"/>
              </w:rPr>
              <w:t xml:space="preserve"> </w:t>
            </w:r>
            <w:r w:rsidRPr="000E2ECD">
              <w:rPr>
                <w:rFonts w:ascii="Menlo Regular" w:eastAsia="MS Gothic" w:hAnsi="Menlo Regular" w:cs="Menlo Regular"/>
                <w:color w:val="000000"/>
                <w:sz w:val="28"/>
                <w:szCs w:val="28"/>
              </w:rPr>
              <w:t>☐</w:t>
            </w:r>
            <w:r>
              <w:rPr>
                <w:rFonts w:ascii="Menlo Regular" w:eastAsia="MS Gothic" w:hAnsi="Menlo Regular" w:cs="Menlo Regular"/>
                <w:color w:val="000000"/>
              </w:rPr>
              <w:t xml:space="preserve"> </w:t>
            </w:r>
            <w:r w:rsidRPr="00437FC6">
              <w:rPr>
                <w:b/>
                <w:lang w:eastAsia="x-none"/>
              </w:rPr>
              <w:t>Spring 2015</w:t>
            </w:r>
          </w:p>
        </w:tc>
      </w:tr>
      <w:tr w:rsidR="00BE405E" w14:paraId="0DAF52F9" w14:textId="77777777" w:rsidTr="00C66F8C">
        <w:trPr>
          <w:cantSplit/>
          <w:trHeight w:val="654"/>
        </w:trPr>
        <w:tc>
          <w:tcPr>
            <w:tcW w:w="10548" w:type="dxa"/>
            <w:gridSpan w:val="3"/>
          </w:tcPr>
          <w:p w14:paraId="416F7A68" w14:textId="1F18D2A5" w:rsidR="00BE405E" w:rsidRDefault="00BE405E" w:rsidP="00BE405E">
            <w:pPr>
              <w:rPr>
                <w:b/>
              </w:rPr>
            </w:pPr>
            <w:r>
              <w:rPr>
                <w:b/>
              </w:rPr>
              <w:t>Course Name and Number:</w:t>
            </w:r>
          </w:p>
          <w:p w14:paraId="6CB7CA4F" w14:textId="7944B789" w:rsidR="00BE405E" w:rsidRPr="004E65EC" w:rsidRDefault="00BE405E" w:rsidP="00BE405E"/>
        </w:tc>
        <w:tc>
          <w:tcPr>
            <w:tcW w:w="3330" w:type="dxa"/>
            <w:gridSpan w:val="3"/>
            <w:tcBorders>
              <w:bottom w:val="single" w:sz="4" w:space="0" w:color="auto"/>
            </w:tcBorders>
          </w:tcPr>
          <w:p w14:paraId="61D9336E" w14:textId="40FE4BE7" w:rsidR="00BE405E" w:rsidRPr="000E2ECD" w:rsidRDefault="00BE405E" w:rsidP="00BE405E">
            <w:pPr>
              <w:rPr>
                <w:b/>
                <w:lang w:eastAsia="x-none"/>
              </w:rPr>
            </w:pPr>
            <w:r w:rsidRPr="00F83DDE">
              <w:rPr>
                <w:b/>
                <w:lang w:eastAsia="x-none"/>
              </w:rPr>
              <w:t># of Sections:</w:t>
            </w:r>
            <w:r w:rsidR="00180A31">
              <w:rPr>
                <w:lang w:eastAsia="x-none"/>
              </w:rPr>
              <w:t xml:space="preserve"> </w:t>
            </w:r>
          </w:p>
          <w:p w14:paraId="6496F12E" w14:textId="131CA4D7" w:rsidR="00BE405E" w:rsidRPr="00180A31" w:rsidRDefault="00BE405E" w:rsidP="00180A31">
            <w:pPr>
              <w:rPr>
                <w:lang w:eastAsia="x-none"/>
              </w:rPr>
            </w:pPr>
            <w:r>
              <w:rPr>
                <w:b/>
                <w:i/>
                <w:lang w:eastAsia="x-none"/>
              </w:rPr>
              <w:t xml:space="preserve"> </w:t>
            </w:r>
          </w:p>
        </w:tc>
      </w:tr>
      <w:tr w:rsidR="00BE405E" w14:paraId="6A825246" w14:textId="77777777" w:rsidTr="00C66F8C">
        <w:trPr>
          <w:cantSplit/>
          <w:trHeight w:val="400"/>
        </w:trPr>
        <w:tc>
          <w:tcPr>
            <w:tcW w:w="3528" w:type="dxa"/>
            <w:vMerge w:val="restart"/>
          </w:tcPr>
          <w:p w14:paraId="1A0EC518" w14:textId="6965E875" w:rsidR="00BE405E" w:rsidRPr="00BE1A0A" w:rsidRDefault="00C66F8C" w:rsidP="00BE405E">
            <w:pPr>
              <w:rPr>
                <w:b/>
              </w:rPr>
            </w:pPr>
            <w:r>
              <w:rPr>
                <w:b/>
              </w:rPr>
              <w:t xml:space="preserve">Student </w:t>
            </w:r>
            <w:r w:rsidR="00BE405E">
              <w:rPr>
                <w:b/>
              </w:rPr>
              <w:t>Learning Outcome</w:t>
            </w:r>
          </w:p>
        </w:tc>
        <w:tc>
          <w:tcPr>
            <w:tcW w:w="3870" w:type="dxa"/>
            <w:vMerge w:val="restart"/>
          </w:tcPr>
          <w:p w14:paraId="43ABEAC2" w14:textId="75E8A5C6" w:rsidR="00BE405E" w:rsidRPr="00BE1A0A" w:rsidRDefault="00BE405E" w:rsidP="00BE405E">
            <w:pPr>
              <w:rPr>
                <w:b/>
              </w:rPr>
            </w:pPr>
            <w:r>
              <w:rPr>
                <w:b/>
              </w:rPr>
              <w:t>Most Closely Aligned General Education Outcome</w:t>
            </w:r>
            <w:r w:rsidR="004E65EC">
              <w:rPr>
                <w:b/>
              </w:rPr>
              <w:t>*</w:t>
            </w:r>
          </w:p>
        </w:tc>
        <w:tc>
          <w:tcPr>
            <w:tcW w:w="3150" w:type="dxa"/>
            <w:vMerge w:val="restart"/>
          </w:tcPr>
          <w:p w14:paraId="3559E16E" w14:textId="77777777" w:rsidR="00BE405E" w:rsidRPr="00BE1A0A" w:rsidRDefault="00BE405E" w:rsidP="00BE405E">
            <w:pPr>
              <w:rPr>
                <w:b/>
              </w:rPr>
            </w:pPr>
            <w:r w:rsidRPr="00BE1A0A">
              <w:rPr>
                <w:b/>
              </w:rPr>
              <w:t>How is Stude</w:t>
            </w:r>
            <w:r>
              <w:rPr>
                <w:b/>
              </w:rPr>
              <w:t>nt Achievement of this Outcome</w:t>
            </w:r>
            <w:r w:rsidRPr="00BE1A0A">
              <w:rPr>
                <w:b/>
              </w:rPr>
              <w:t xml:space="preserve"> Measured? (Assessment Strategy)</w:t>
            </w:r>
          </w:p>
        </w:tc>
        <w:tc>
          <w:tcPr>
            <w:tcW w:w="3330" w:type="dxa"/>
            <w:gridSpan w:val="3"/>
          </w:tcPr>
          <w:p w14:paraId="542A0157" w14:textId="77777777" w:rsidR="00BE405E" w:rsidRPr="00BD202A" w:rsidRDefault="00BE405E" w:rsidP="00BE405E">
            <w:pPr>
              <w:rPr>
                <w:b/>
                <w:i/>
                <w:lang w:eastAsia="x-none"/>
              </w:rPr>
            </w:pPr>
            <w:r w:rsidRPr="00BD202A">
              <w:rPr>
                <w:b/>
                <w:i/>
                <w:lang w:eastAsia="x-none"/>
              </w:rPr>
              <w:t>Percentage of student</w:t>
            </w:r>
            <w:r>
              <w:rPr>
                <w:b/>
                <w:i/>
                <w:lang w:eastAsia="x-none"/>
              </w:rPr>
              <w:t>s</w:t>
            </w:r>
            <w:r w:rsidRPr="00BD202A">
              <w:rPr>
                <w:b/>
                <w:i/>
                <w:lang w:eastAsia="x-none"/>
              </w:rPr>
              <w:t xml:space="preserve"> in </w:t>
            </w:r>
            <w:r>
              <w:rPr>
                <w:b/>
                <w:i/>
                <w:lang w:eastAsia="x-none"/>
              </w:rPr>
              <w:t xml:space="preserve">each </w:t>
            </w:r>
            <w:r w:rsidRPr="00BD202A">
              <w:rPr>
                <w:b/>
                <w:i/>
                <w:lang w:eastAsia="x-none"/>
              </w:rPr>
              <w:t>category:</w:t>
            </w:r>
          </w:p>
        </w:tc>
      </w:tr>
      <w:tr w:rsidR="00BE405E" w14:paraId="12AE08DD" w14:textId="77777777" w:rsidTr="00C66F8C">
        <w:trPr>
          <w:cantSplit/>
          <w:trHeight w:val="400"/>
        </w:trPr>
        <w:tc>
          <w:tcPr>
            <w:tcW w:w="3528" w:type="dxa"/>
            <w:vMerge/>
          </w:tcPr>
          <w:p w14:paraId="249B484F" w14:textId="77777777" w:rsidR="00BE405E" w:rsidRDefault="00BE405E" w:rsidP="00BE405E">
            <w:pPr>
              <w:rPr>
                <w:b/>
              </w:rPr>
            </w:pPr>
          </w:p>
        </w:tc>
        <w:tc>
          <w:tcPr>
            <w:tcW w:w="3870" w:type="dxa"/>
            <w:vMerge/>
          </w:tcPr>
          <w:p w14:paraId="7431C25B" w14:textId="77777777" w:rsidR="00BE405E" w:rsidRDefault="00BE405E" w:rsidP="00BE405E">
            <w:pPr>
              <w:rPr>
                <w:b/>
              </w:rPr>
            </w:pPr>
          </w:p>
        </w:tc>
        <w:tc>
          <w:tcPr>
            <w:tcW w:w="3150" w:type="dxa"/>
            <w:vMerge/>
          </w:tcPr>
          <w:p w14:paraId="33FA1E16" w14:textId="77777777" w:rsidR="00BE405E" w:rsidRPr="00BE1A0A" w:rsidRDefault="00BE405E" w:rsidP="00BE405E">
            <w:pPr>
              <w:rPr>
                <w:b/>
              </w:rPr>
            </w:pPr>
          </w:p>
        </w:tc>
        <w:tc>
          <w:tcPr>
            <w:tcW w:w="1170" w:type="dxa"/>
          </w:tcPr>
          <w:p w14:paraId="1D6103BE" w14:textId="77777777" w:rsidR="00BE405E" w:rsidRPr="00C66F8C" w:rsidRDefault="00BE405E" w:rsidP="00BE405E">
            <w:pPr>
              <w:rPr>
                <w:b/>
                <w:i/>
                <w:sz w:val="16"/>
                <w:szCs w:val="16"/>
                <w:lang w:eastAsia="x-none"/>
              </w:rPr>
            </w:pPr>
            <w:r w:rsidRPr="00C66F8C">
              <w:rPr>
                <w:b/>
                <w:i/>
                <w:sz w:val="16"/>
                <w:szCs w:val="16"/>
                <w:lang w:eastAsia="x-none"/>
              </w:rPr>
              <w:t>Exceeds expectations</w:t>
            </w:r>
          </w:p>
        </w:tc>
        <w:tc>
          <w:tcPr>
            <w:tcW w:w="1080" w:type="dxa"/>
          </w:tcPr>
          <w:p w14:paraId="2DD94A05" w14:textId="77777777" w:rsidR="00BE405E" w:rsidRPr="00C66F8C" w:rsidRDefault="00BE405E" w:rsidP="00BE405E">
            <w:pPr>
              <w:rPr>
                <w:b/>
                <w:i/>
                <w:sz w:val="16"/>
                <w:szCs w:val="16"/>
                <w:lang w:eastAsia="x-none"/>
              </w:rPr>
            </w:pPr>
            <w:r w:rsidRPr="00C66F8C">
              <w:rPr>
                <w:b/>
                <w:i/>
                <w:sz w:val="16"/>
                <w:szCs w:val="16"/>
                <w:lang w:eastAsia="x-none"/>
              </w:rPr>
              <w:t>Meets expectations</w:t>
            </w:r>
          </w:p>
        </w:tc>
        <w:tc>
          <w:tcPr>
            <w:tcW w:w="1080" w:type="dxa"/>
          </w:tcPr>
          <w:p w14:paraId="03F96BED" w14:textId="19029803" w:rsidR="00BE405E" w:rsidRPr="00C66F8C" w:rsidRDefault="004E65EC" w:rsidP="00BE405E">
            <w:pPr>
              <w:rPr>
                <w:b/>
                <w:i/>
                <w:sz w:val="16"/>
                <w:szCs w:val="16"/>
                <w:lang w:eastAsia="x-none"/>
              </w:rPr>
            </w:pPr>
            <w:r>
              <w:rPr>
                <w:b/>
                <w:i/>
                <w:sz w:val="16"/>
                <w:szCs w:val="16"/>
                <w:lang w:eastAsia="x-none"/>
              </w:rPr>
              <w:t xml:space="preserve">Did not meet </w:t>
            </w:r>
            <w:r w:rsidR="00BE405E" w:rsidRPr="00C66F8C">
              <w:rPr>
                <w:b/>
                <w:i/>
                <w:sz w:val="16"/>
                <w:szCs w:val="16"/>
                <w:lang w:eastAsia="x-none"/>
              </w:rPr>
              <w:t>expectations</w:t>
            </w:r>
          </w:p>
        </w:tc>
      </w:tr>
      <w:tr w:rsidR="00BE405E" w14:paraId="42A41669" w14:textId="77777777" w:rsidTr="00C66F8C">
        <w:trPr>
          <w:cantSplit/>
        </w:trPr>
        <w:tc>
          <w:tcPr>
            <w:tcW w:w="3528" w:type="dxa"/>
          </w:tcPr>
          <w:p w14:paraId="3996CEBE" w14:textId="29B10E11" w:rsidR="00BE405E" w:rsidRDefault="00BE405E" w:rsidP="00BE405E"/>
        </w:tc>
        <w:tc>
          <w:tcPr>
            <w:tcW w:w="3870" w:type="dxa"/>
          </w:tcPr>
          <w:p w14:paraId="6B3EB9EE" w14:textId="77777777" w:rsidR="00C66F8C" w:rsidRPr="006715BF" w:rsidRDefault="00C66F8C" w:rsidP="00C66F8C">
            <w:pPr>
              <w:rPr>
                <w:rFonts w:ascii="Cochin" w:eastAsia="MS Gothic" w:hAnsi="Cochin" w:cs="Menlo Regular"/>
                <w:color w:val="000000"/>
                <w:sz w:val="18"/>
                <w:szCs w:val="18"/>
              </w:rPr>
            </w:pPr>
            <w:r w:rsidRPr="000E2ECD">
              <w:rPr>
                <w:rFonts w:ascii="Menlo Regular" w:eastAsia="MS Gothic" w:hAnsi="Menlo Regular" w:cs="Menlo Regular"/>
                <w:color w:val="000000"/>
                <w:sz w:val="28"/>
                <w:szCs w:val="28"/>
              </w:rPr>
              <w:t>☐</w:t>
            </w:r>
            <w:r>
              <w:rPr>
                <w:rFonts w:ascii="Menlo Regular" w:eastAsia="MS Gothic" w:hAnsi="Menlo Regular" w:cs="Menlo Regular"/>
                <w:color w:val="000000"/>
                <w:sz w:val="28"/>
                <w:szCs w:val="28"/>
              </w:rPr>
              <w:t xml:space="preserve"> </w:t>
            </w:r>
            <w:r w:rsidRPr="00C66F8C">
              <w:rPr>
                <w:rFonts w:ascii="Cochin" w:eastAsia="MS Gothic" w:hAnsi="Cochin" w:cs="Menlo Regular"/>
                <w:color w:val="000000"/>
                <w:sz w:val="16"/>
                <w:szCs w:val="16"/>
              </w:rPr>
              <w:t>Communication</w:t>
            </w:r>
            <w:r>
              <w:rPr>
                <w:rFonts w:ascii="Menlo Regular" w:eastAsia="MS Gothic" w:hAnsi="Menlo Regular" w:cs="Menlo Regular"/>
                <w:color w:val="000000"/>
                <w:sz w:val="28"/>
                <w:szCs w:val="28"/>
              </w:rPr>
              <w:br/>
            </w:r>
            <w:r w:rsidRPr="000E2ECD">
              <w:rPr>
                <w:rFonts w:ascii="Menlo Regular" w:eastAsia="MS Gothic" w:hAnsi="Menlo Regular" w:cs="Menlo Regular"/>
                <w:color w:val="000000"/>
                <w:sz w:val="28"/>
                <w:szCs w:val="28"/>
              </w:rPr>
              <w:t>☐</w:t>
            </w:r>
            <w:r>
              <w:rPr>
                <w:rFonts w:ascii="Menlo Regular" w:eastAsia="MS Gothic" w:hAnsi="Menlo Regular" w:cs="Menlo Regular"/>
                <w:color w:val="000000"/>
                <w:sz w:val="28"/>
                <w:szCs w:val="28"/>
              </w:rPr>
              <w:t xml:space="preserve"> </w:t>
            </w:r>
            <w:r w:rsidRPr="00C66F8C">
              <w:rPr>
                <w:rFonts w:ascii="Cochin" w:eastAsia="MS Gothic" w:hAnsi="Cochin" w:cs="Menlo Regular"/>
                <w:color w:val="000000"/>
                <w:sz w:val="16"/>
                <w:szCs w:val="16"/>
              </w:rPr>
              <w:t>Scientific &amp; Quantitative Reasoning &amp;Literacy</w:t>
            </w:r>
          </w:p>
          <w:p w14:paraId="606FD7A5" w14:textId="77777777" w:rsidR="00C66F8C" w:rsidRPr="006715BF" w:rsidRDefault="00C66F8C" w:rsidP="00C66F8C">
            <w:pPr>
              <w:rPr>
                <w:rFonts w:ascii="Cochin" w:eastAsia="MS Gothic" w:hAnsi="Cochin" w:cs="Menlo Regular"/>
                <w:color w:val="000000"/>
                <w:sz w:val="18"/>
                <w:szCs w:val="18"/>
              </w:rPr>
            </w:pPr>
            <w:r w:rsidRPr="000E2ECD">
              <w:rPr>
                <w:rFonts w:ascii="Menlo Regular" w:eastAsia="MS Gothic" w:hAnsi="Menlo Regular" w:cs="Menlo Regular"/>
                <w:color w:val="000000"/>
                <w:sz w:val="28"/>
                <w:szCs w:val="28"/>
              </w:rPr>
              <w:t>☐</w:t>
            </w:r>
            <w:r>
              <w:rPr>
                <w:rFonts w:ascii="Menlo Regular" w:eastAsia="MS Gothic" w:hAnsi="Menlo Regular" w:cs="Menlo Regular"/>
                <w:color w:val="000000"/>
                <w:sz w:val="28"/>
                <w:szCs w:val="28"/>
              </w:rPr>
              <w:t xml:space="preserve"> </w:t>
            </w:r>
            <w:r w:rsidRPr="00C66F8C">
              <w:rPr>
                <w:rFonts w:ascii="Cochin" w:eastAsia="MS Gothic" w:hAnsi="Cochin" w:cs="Menlo Regular"/>
                <w:color w:val="000000"/>
                <w:sz w:val="16"/>
                <w:szCs w:val="16"/>
              </w:rPr>
              <w:t>Personal, Social, and Global Responsibility</w:t>
            </w:r>
          </w:p>
          <w:p w14:paraId="3DB0BC45" w14:textId="77777777" w:rsidR="00C66F8C" w:rsidRPr="00B211E5" w:rsidRDefault="00C66F8C" w:rsidP="00C66F8C">
            <w:pPr>
              <w:rPr>
                <w:rFonts w:ascii="Cochin" w:eastAsia="MS Gothic" w:hAnsi="Cochin" w:cs="Menlo Regular"/>
                <w:color w:val="000000"/>
                <w:sz w:val="20"/>
                <w:szCs w:val="20"/>
              </w:rPr>
            </w:pPr>
            <w:r w:rsidRPr="000E2ECD">
              <w:rPr>
                <w:rFonts w:ascii="Menlo Regular" w:eastAsia="MS Gothic" w:hAnsi="Menlo Regular" w:cs="Menlo Regular"/>
                <w:color w:val="000000"/>
                <w:sz w:val="28"/>
                <w:szCs w:val="28"/>
              </w:rPr>
              <w:t>☐</w:t>
            </w:r>
            <w:r>
              <w:rPr>
                <w:rFonts w:ascii="Menlo Regular" w:eastAsia="MS Gothic" w:hAnsi="Menlo Regular" w:cs="Menlo Regular"/>
                <w:color w:val="000000"/>
                <w:sz w:val="28"/>
                <w:szCs w:val="28"/>
              </w:rPr>
              <w:t xml:space="preserve"> </w:t>
            </w:r>
            <w:r w:rsidRPr="00C66F8C">
              <w:rPr>
                <w:rFonts w:ascii="Cochin" w:eastAsia="MS Gothic" w:hAnsi="Cochin" w:cs="Menlo Regular"/>
                <w:color w:val="000000"/>
                <w:sz w:val="16"/>
                <w:szCs w:val="16"/>
              </w:rPr>
              <w:t>Information Literacy</w:t>
            </w:r>
          </w:p>
          <w:p w14:paraId="6AEAFB37" w14:textId="4033690D" w:rsidR="00BE405E" w:rsidRPr="005265F3" w:rsidRDefault="00C66F8C" w:rsidP="00C66F8C">
            <w:pPr>
              <w:rPr>
                <w:rFonts w:ascii="Cochin" w:hAnsi="Cochin"/>
                <w:sz w:val="20"/>
                <w:szCs w:val="20"/>
              </w:rPr>
            </w:pPr>
            <w:r w:rsidRPr="000E2ECD">
              <w:rPr>
                <w:rFonts w:ascii="Menlo Regular" w:eastAsia="MS Gothic" w:hAnsi="Menlo Regular" w:cs="Menlo Regular"/>
                <w:color w:val="000000"/>
                <w:sz w:val="28"/>
                <w:szCs w:val="28"/>
              </w:rPr>
              <w:t>☐</w:t>
            </w:r>
            <w:r>
              <w:rPr>
                <w:rFonts w:ascii="Menlo Regular" w:eastAsia="MS Gothic" w:hAnsi="Menlo Regular" w:cs="Menlo Regular"/>
                <w:color w:val="000000"/>
                <w:sz w:val="28"/>
                <w:szCs w:val="28"/>
              </w:rPr>
              <w:t xml:space="preserve"> </w:t>
            </w:r>
            <w:r w:rsidRPr="00C66F8C">
              <w:rPr>
                <w:rFonts w:ascii="Cochin" w:eastAsia="MS Gothic" w:hAnsi="Cochin" w:cs="Menlo Regular"/>
                <w:color w:val="000000"/>
                <w:sz w:val="16"/>
                <w:szCs w:val="16"/>
              </w:rPr>
              <w:t>Critical Thinking and Integrated Learning</w:t>
            </w:r>
          </w:p>
        </w:tc>
        <w:tc>
          <w:tcPr>
            <w:tcW w:w="3150" w:type="dxa"/>
          </w:tcPr>
          <w:p w14:paraId="53B45056" w14:textId="796AF414" w:rsidR="00BE405E" w:rsidRDefault="00BE405E" w:rsidP="00C66F8C"/>
        </w:tc>
        <w:tc>
          <w:tcPr>
            <w:tcW w:w="1170" w:type="dxa"/>
          </w:tcPr>
          <w:p w14:paraId="477AC7B0" w14:textId="77777777" w:rsidR="00BE405E" w:rsidRPr="00BD202A" w:rsidRDefault="00BE405E" w:rsidP="00BE405E">
            <w:pPr>
              <w:rPr>
                <w:b/>
                <w:i/>
                <w:lang w:eastAsia="x-none"/>
              </w:rPr>
            </w:pPr>
          </w:p>
        </w:tc>
        <w:tc>
          <w:tcPr>
            <w:tcW w:w="1080" w:type="dxa"/>
          </w:tcPr>
          <w:p w14:paraId="4C4B799D" w14:textId="77777777" w:rsidR="00BE405E" w:rsidRPr="00BD202A" w:rsidRDefault="00BE405E" w:rsidP="00BE405E">
            <w:pPr>
              <w:rPr>
                <w:b/>
                <w:i/>
                <w:lang w:eastAsia="x-none"/>
              </w:rPr>
            </w:pPr>
          </w:p>
        </w:tc>
        <w:tc>
          <w:tcPr>
            <w:tcW w:w="1080" w:type="dxa"/>
          </w:tcPr>
          <w:p w14:paraId="06854B3D" w14:textId="77777777" w:rsidR="00BE405E" w:rsidRPr="00BD202A" w:rsidRDefault="00BE405E" w:rsidP="00BE405E">
            <w:pPr>
              <w:rPr>
                <w:b/>
                <w:i/>
                <w:lang w:eastAsia="x-none"/>
              </w:rPr>
            </w:pPr>
          </w:p>
        </w:tc>
      </w:tr>
      <w:tr w:rsidR="00BE405E" w14:paraId="7A39A1D1" w14:textId="77777777" w:rsidTr="00C66F8C">
        <w:trPr>
          <w:cantSplit/>
        </w:trPr>
        <w:tc>
          <w:tcPr>
            <w:tcW w:w="3528" w:type="dxa"/>
          </w:tcPr>
          <w:p w14:paraId="2BFC9D47" w14:textId="77777777" w:rsidR="00BE405E" w:rsidRDefault="00BE405E" w:rsidP="00BE405E"/>
        </w:tc>
        <w:tc>
          <w:tcPr>
            <w:tcW w:w="3870" w:type="dxa"/>
          </w:tcPr>
          <w:p w14:paraId="152A6C2F" w14:textId="77777777" w:rsidR="00B42E47" w:rsidRPr="006715BF" w:rsidRDefault="00B42E47" w:rsidP="00B42E47">
            <w:pPr>
              <w:rPr>
                <w:rFonts w:ascii="Cochin" w:eastAsia="MS Gothic" w:hAnsi="Cochin" w:cs="Menlo Regular"/>
                <w:color w:val="000000"/>
                <w:sz w:val="18"/>
                <w:szCs w:val="18"/>
              </w:rPr>
            </w:pPr>
            <w:r w:rsidRPr="000E2ECD">
              <w:rPr>
                <w:rFonts w:ascii="Menlo Regular" w:eastAsia="MS Gothic" w:hAnsi="Menlo Regular" w:cs="Menlo Regular"/>
                <w:color w:val="000000"/>
                <w:sz w:val="28"/>
                <w:szCs w:val="28"/>
              </w:rPr>
              <w:t>☐</w:t>
            </w:r>
            <w:r>
              <w:rPr>
                <w:rFonts w:ascii="Menlo Regular" w:eastAsia="MS Gothic" w:hAnsi="Menlo Regular" w:cs="Menlo Regular"/>
                <w:color w:val="000000"/>
                <w:sz w:val="28"/>
                <w:szCs w:val="28"/>
              </w:rPr>
              <w:t xml:space="preserve"> </w:t>
            </w:r>
            <w:r w:rsidRPr="00C66F8C">
              <w:rPr>
                <w:rFonts w:ascii="Cochin" w:eastAsia="MS Gothic" w:hAnsi="Cochin" w:cs="Menlo Regular"/>
                <w:color w:val="000000"/>
                <w:sz w:val="16"/>
                <w:szCs w:val="16"/>
              </w:rPr>
              <w:t>Communication</w:t>
            </w:r>
            <w:r>
              <w:rPr>
                <w:rFonts w:ascii="Menlo Regular" w:eastAsia="MS Gothic" w:hAnsi="Menlo Regular" w:cs="Menlo Regular"/>
                <w:color w:val="000000"/>
                <w:sz w:val="28"/>
                <w:szCs w:val="28"/>
              </w:rPr>
              <w:br/>
            </w:r>
            <w:r w:rsidRPr="000E2ECD">
              <w:rPr>
                <w:rFonts w:ascii="Menlo Regular" w:eastAsia="MS Gothic" w:hAnsi="Menlo Regular" w:cs="Menlo Regular"/>
                <w:color w:val="000000"/>
                <w:sz w:val="28"/>
                <w:szCs w:val="28"/>
              </w:rPr>
              <w:t>☐</w:t>
            </w:r>
            <w:r>
              <w:rPr>
                <w:rFonts w:ascii="Menlo Regular" w:eastAsia="MS Gothic" w:hAnsi="Menlo Regular" w:cs="Menlo Regular"/>
                <w:color w:val="000000"/>
                <w:sz w:val="28"/>
                <w:szCs w:val="28"/>
              </w:rPr>
              <w:t xml:space="preserve"> </w:t>
            </w:r>
            <w:r w:rsidRPr="00C66F8C">
              <w:rPr>
                <w:rFonts w:ascii="Cochin" w:eastAsia="MS Gothic" w:hAnsi="Cochin" w:cs="Menlo Regular"/>
                <w:color w:val="000000"/>
                <w:sz w:val="16"/>
                <w:szCs w:val="16"/>
              </w:rPr>
              <w:t>Scientific &amp; Quantitative Reasoning &amp;Literacy</w:t>
            </w:r>
          </w:p>
          <w:p w14:paraId="1785142E" w14:textId="77777777" w:rsidR="00B42E47" w:rsidRPr="006715BF" w:rsidRDefault="00B42E47" w:rsidP="00B42E47">
            <w:pPr>
              <w:rPr>
                <w:rFonts w:ascii="Cochin" w:eastAsia="MS Gothic" w:hAnsi="Cochin" w:cs="Menlo Regular"/>
                <w:color w:val="000000"/>
                <w:sz w:val="18"/>
                <w:szCs w:val="18"/>
              </w:rPr>
            </w:pPr>
            <w:r w:rsidRPr="000E2ECD">
              <w:rPr>
                <w:rFonts w:ascii="Menlo Regular" w:eastAsia="MS Gothic" w:hAnsi="Menlo Regular" w:cs="Menlo Regular"/>
                <w:color w:val="000000"/>
                <w:sz w:val="28"/>
                <w:szCs w:val="28"/>
              </w:rPr>
              <w:t>☐</w:t>
            </w:r>
            <w:r>
              <w:rPr>
                <w:rFonts w:ascii="Menlo Regular" w:eastAsia="MS Gothic" w:hAnsi="Menlo Regular" w:cs="Menlo Regular"/>
                <w:color w:val="000000"/>
                <w:sz w:val="28"/>
                <w:szCs w:val="28"/>
              </w:rPr>
              <w:t xml:space="preserve"> </w:t>
            </w:r>
            <w:r w:rsidRPr="00C66F8C">
              <w:rPr>
                <w:rFonts w:ascii="Cochin" w:eastAsia="MS Gothic" w:hAnsi="Cochin" w:cs="Menlo Regular"/>
                <w:color w:val="000000"/>
                <w:sz w:val="16"/>
                <w:szCs w:val="16"/>
              </w:rPr>
              <w:t>Personal, Social, and Global Responsibility</w:t>
            </w:r>
          </w:p>
          <w:p w14:paraId="6763D8AA" w14:textId="77777777" w:rsidR="00B42E47" w:rsidRPr="00B211E5" w:rsidRDefault="00B42E47" w:rsidP="00B42E47">
            <w:pPr>
              <w:rPr>
                <w:rFonts w:ascii="Cochin" w:eastAsia="MS Gothic" w:hAnsi="Cochin" w:cs="Menlo Regular"/>
                <w:color w:val="000000"/>
                <w:sz w:val="20"/>
                <w:szCs w:val="20"/>
              </w:rPr>
            </w:pPr>
            <w:r w:rsidRPr="000E2ECD">
              <w:rPr>
                <w:rFonts w:ascii="Menlo Regular" w:eastAsia="MS Gothic" w:hAnsi="Menlo Regular" w:cs="Menlo Regular"/>
                <w:color w:val="000000"/>
                <w:sz w:val="28"/>
                <w:szCs w:val="28"/>
              </w:rPr>
              <w:t>☐</w:t>
            </w:r>
            <w:r>
              <w:rPr>
                <w:rFonts w:ascii="Menlo Regular" w:eastAsia="MS Gothic" w:hAnsi="Menlo Regular" w:cs="Menlo Regular"/>
                <w:color w:val="000000"/>
                <w:sz w:val="28"/>
                <w:szCs w:val="28"/>
              </w:rPr>
              <w:t xml:space="preserve"> </w:t>
            </w:r>
            <w:r w:rsidRPr="00C66F8C">
              <w:rPr>
                <w:rFonts w:ascii="Cochin" w:eastAsia="MS Gothic" w:hAnsi="Cochin" w:cs="Menlo Regular"/>
                <w:color w:val="000000"/>
                <w:sz w:val="16"/>
                <w:szCs w:val="16"/>
              </w:rPr>
              <w:t>Information Literacy</w:t>
            </w:r>
          </w:p>
          <w:p w14:paraId="7C7BD52F" w14:textId="77777777" w:rsidR="00BE405E" w:rsidRDefault="00B42E47" w:rsidP="00B42E47">
            <w:r w:rsidRPr="000E2ECD">
              <w:rPr>
                <w:rFonts w:ascii="Menlo Regular" w:eastAsia="MS Gothic" w:hAnsi="Menlo Regular" w:cs="Menlo Regular"/>
                <w:color w:val="000000"/>
                <w:sz w:val="28"/>
                <w:szCs w:val="28"/>
              </w:rPr>
              <w:t>☐</w:t>
            </w:r>
            <w:r>
              <w:rPr>
                <w:rFonts w:ascii="Menlo Regular" w:eastAsia="MS Gothic" w:hAnsi="Menlo Regular" w:cs="Menlo Regular"/>
                <w:color w:val="000000"/>
                <w:sz w:val="28"/>
                <w:szCs w:val="28"/>
              </w:rPr>
              <w:t xml:space="preserve"> </w:t>
            </w:r>
            <w:r w:rsidRPr="00C66F8C">
              <w:rPr>
                <w:rFonts w:ascii="Cochin" w:eastAsia="MS Gothic" w:hAnsi="Cochin" w:cs="Menlo Regular"/>
                <w:color w:val="000000"/>
                <w:sz w:val="16"/>
                <w:szCs w:val="16"/>
              </w:rPr>
              <w:t>Critical Thinking and Integrated Learning</w:t>
            </w:r>
          </w:p>
        </w:tc>
        <w:tc>
          <w:tcPr>
            <w:tcW w:w="3150" w:type="dxa"/>
          </w:tcPr>
          <w:p w14:paraId="35AE6DB3" w14:textId="47840F60" w:rsidR="00BE405E" w:rsidRDefault="00BE405E" w:rsidP="00BE405E"/>
        </w:tc>
        <w:tc>
          <w:tcPr>
            <w:tcW w:w="1170" w:type="dxa"/>
          </w:tcPr>
          <w:p w14:paraId="7FB34F27" w14:textId="77777777" w:rsidR="00BE405E" w:rsidRDefault="00BE405E" w:rsidP="00BE405E"/>
        </w:tc>
        <w:tc>
          <w:tcPr>
            <w:tcW w:w="1080" w:type="dxa"/>
          </w:tcPr>
          <w:p w14:paraId="1CF09749" w14:textId="77777777" w:rsidR="00BE405E" w:rsidRDefault="00BE405E" w:rsidP="00BE405E"/>
        </w:tc>
        <w:tc>
          <w:tcPr>
            <w:tcW w:w="1080" w:type="dxa"/>
          </w:tcPr>
          <w:p w14:paraId="54E898C5" w14:textId="77777777" w:rsidR="00BE405E" w:rsidRDefault="00BE405E" w:rsidP="00BE405E"/>
        </w:tc>
      </w:tr>
      <w:tr w:rsidR="00BE405E" w14:paraId="58865515" w14:textId="77777777" w:rsidTr="00C66F8C">
        <w:trPr>
          <w:cantSplit/>
        </w:trPr>
        <w:tc>
          <w:tcPr>
            <w:tcW w:w="3528" w:type="dxa"/>
          </w:tcPr>
          <w:p w14:paraId="1001D07B" w14:textId="77777777" w:rsidR="00BE405E" w:rsidRDefault="00BE405E" w:rsidP="00BE405E"/>
        </w:tc>
        <w:tc>
          <w:tcPr>
            <w:tcW w:w="3870" w:type="dxa"/>
          </w:tcPr>
          <w:p w14:paraId="6A7B03D0" w14:textId="77777777" w:rsidR="00C66F8C" w:rsidRPr="006715BF" w:rsidRDefault="00C66F8C" w:rsidP="00C66F8C">
            <w:pPr>
              <w:rPr>
                <w:rFonts w:ascii="Cochin" w:eastAsia="MS Gothic" w:hAnsi="Cochin" w:cs="Menlo Regular"/>
                <w:color w:val="000000"/>
                <w:sz w:val="18"/>
                <w:szCs w:val="18"/>
              </w:rPr>
            </w:pPr>
            <w:r w:rsidRPr="000E2ECD">
              <w:rPr>
                <w:rFonts w:ascii="Menlo Regular" w:eastAsia="MS Gothic" w:hAnsi="Menlo Regular" w:cs="Menlo Regular"/>
                <w:color w:val="000000"/>
                <w:sz w:val="28"/>
                <w:szCs w:val="28"/>
              </w:rPr>
              <w:t>☐</w:t>
            </w:r>
            <w:r>
              <w:rPr>
                <w:rFonts w:ascii="Menlo Regular" w:eastAsia="MS Gothic" w:hAnsi="Menlo Regular" w:cs="Menlo Regular"/>
                <w:color w:val="000000"/>
                <w:sz w:val="28"/>
                <w:szCs w:val="28"/>
              </w:rPr>
              <w:t xml:space="preserve"> </w:t>
            </w:r>
            <w:r w:rsidRPr="00C66F8C">
              <w:rPr>
                <w:rFonts w:ascii="Cochin" w:eastAsia="MS Gothic" w:hAnsi="Cochin" w:cs="Menlo Regular"/>
                <w:color w:val="000000"/>
                <w:sz w:val="16"/>
                <w:szCs w:val="16"/>
              </w:rPr>
              <w:t>Communication</w:t>
            </w:r>
            <w:r>
              <w:rPr>
                <w:rFonts w:ascii="Menlo Regular" w:eastAsia="MS Gothic" w:hAnsi="Menlo Regular" w:cs="Menlo Regular"/>
                <w:color w:val="000000"/>
                <w:sz w:val="28"/>
                <w:szCs w:val="28"/>
              </w:rPr>
              <w:br/>
            </w:r>
            <w:r w:rsidRPr="000E2ECD">
              <w:rPr>
                <w:rFonts w:ascii="Menlo Regular" w:eastAsia="MS Gothic" w:hAnsi="Menlo Regular" w:cs="Menlo Regular"/>
                <w:color w:val="000000"/>
                <w:sz w:val="28"/>
                <w:szCs w:val="28"/>
              </w:rPr>
              <w:t>☐</w:t>
            </w:r>
            <w:r>
              <w:rPr>
                <w:rFonts w:ascii="Menlo Regular" w:eastAsia="MS Gothic" w:hAnsi="Menlo Regular" w:cs="Menlo Regular"/>
                <w:color w:val="000000"/>
                <w:sz w:val="28"/>
                <w:szCs w:val="28"/>
              </w:rPr>
              <w:t xml:space="preserve"> </w:t>
            </w:r>
            <w:r w:rsidRPr="00C66F8C">
              <w:rPr>
                <w:rFonts w:ascii="Cochin" w:eastAsia="MS Gothic" w:hAnsi="Cochin" w:cs="Menlo Regular"/>
                <w:color w:val="000000"/>
                <w:sz w:val="16"/>
                <w:szCs w:val="16"/>
              </w:rPr>
              <w:t>Scientific &amp; Quantitative Reasoning &amp;Literacy</w:t>
            </w:r>
          </w:p>
          <w:p w14:paraId="0C4E31E9" w14:textId="77777777" w:rsidR="00C66F8C" w:rsidRPr="006715BF" w:rsidRDefault="00C66F8C" w:rsidP="00C66F8C">
            <w:pPr>
              <w:rPr>
                <w:rFonts w:ascii="Cochin" w:eastAsia="MS Gothic" w:hAnsi="Cochin" w:cs="Menlo Regular"/>
                <w:color w:val="000000"/>
                <w:sz w:val="18"/>
                <w:szCs w:val="18"/>
              </w:rPr>
            </w:pPr>
            <w:r w:rsidRPr="000E2ECD">
              <w:rPr>
                <w:rFonts w:ascii="Menlo Regular" w:eastAsia="MS Gothic" w:hAnsi="Menlo Regular" w:cs="Menlo Regular"/>
                <w:color w:val="000000"/>
                <w:sz w:val="28"/>
                <w:szCs w:val="28"/>
              </w:rPr>
              <w:t>☐</w:t>
            </w:r>
            <w:r>
              <w:rPr>
                <w:rFonts w:ascii="Menlo Regular" w:eastAsia="MS Gothic" w:hAnsi="Menlo Regular" w:cs="Menlo Regular"/>
                <w:color w:val="000000"/>
                <w:sz w:val="28"/>
                <w:szCs w:val="28"/>
              </w:rPr>
              <w:t xml:space="preserve"> </w:t>
            </w:r>
            <w:r w:rsidRPr="00C66F8C">
              <w:rPr>
                <w:rFonts w:ascii="Cochin" w:eastAsia="MS Gothic" w:hAnsi="Cochin" w:cs="Menlo Regular"/>
                <w:color w:val="000000"/>
                <w:sz w:val="16"/>
                <w:szCs w:val="16"/>
              </w:rPr>
              <w:t>Personal, Social, and Global Responsibility</w:t>
            </w:r>
          </w:p>
          <w:p w14:paraId="2EDD67FA" w14:textId="77777777" w:rsidR="00C66F8C" w:rsidRPr="00B211E5" w:rsidRDefault="00C66F8C" w:rsidP="00C66F8C">
            <w:pPr>
              <w:rPr>
                <w:rFonts w:ascii="Cochin" w:eastAsia="MS Gothic" w:hAnsi="Cochin" w:cs="Menlo Regular"/>
                <w:color w:val="000000"/>
                <w:sz w:val="20"/>
                <w:szCs w:val="20"/>
              </w:rPr>
            </w:pPr>
            <w:r w:rsidRPr="000E2ECD">
              <w:rPr>
                <w:rFonts w:ascii="Menlo Regular" w:eastAsia="MS Gothic" w:hAnsi="Menlo Regular" w:cs="Menlo Regular"/>
                <w:color w:val="000000"/>
                <w:sz w:val="28"/>
                <w:szCs w:val="28"/>
              </w:rPr>
              <w:t>☐</w:t>
            </w:r>
            <w:r>
              <w:rPr>
                <w:rFonts w:ascii="Menlo Regular" w:eastAsia="MS Gothic" w:hAnsi="Menlo Regular" w:cs="Menlo Regular"/>
                <w:color w:val="000000"/>
                <w:sz w:val="28"/>
                <w:szCs w:val="28"/>
              </w:rPr>
              <w:t xml:space="preserve"> </w:t>
            </w:r>
            <w:r w:rsidRPr="00C66F8C">
              <w:rPr>
                <w:rFonts w:ascii="Cochin" w:eastAsia="MS Gothic" w:hAnsi="Cochin" w:cs="Menlo Regular"/>
                <w:color w:val="000000"/>
                <w:sz w:val="16"/>
                <w:szCs w:val="16"/>
              </w:rPr>
              <w:t>Information Literacy</w:t>
            </w:r>
          </w:p>
          <w:p w14:paraId="7360247B" w14:textId="7EEA9B5D" w:rsidR="00BE405E" w:rsidRDefault="00C66F8C" w:rsidP="00C66F8C">
            <w:r w:rsidRPr="000E2ECD">
              <w:rPr>
                <w:rFonts w:ascii="Menlo Regular" w:eastAsia="MS Gothic" w:hAnsi="Menlo Regular" w:cs="Menlo Regular"/>
                <w:color w:val="000000"/>
                <w:sz w:val="28"/>
                <w:szCs w:val="28"/>
              </w:rPr>
              <w:t>☐</w:t>
            </w:r>
            <w:r>
              <w:rPr>
                <w:rFonts w:ascii="Menlo Regular" w:eastAsia="MS Gothic" w:hAnsi="Menlo Regular" w:cs="Menlo Regular"/>
                <w:color w:val="000000"/>
                <w:sz w:val="28"/>
                <w:szCs w:val="28"/>
              </w:rPr>
              <w:t xml:space="preserve"> </w:t>
            </w:r>
            <w:r w:rsidRPr="00C66F8C">
              <w:rPr>
                <w:rFonts w:ascii="Cochin" w:eastAsia="MS Gothic" w:hAnsi="Cochin" w:cs="Menlo Regular"/>
                <w:color w:val="000000"/>
                <w:sz w:val="16"/>
                <w:szCs w:val="16"/>
              </w:rPr>
              <w:t>Critical Thinking and Integrated Learning</w:t>
            </w:r>
          </w:p>
        </w:tc>
        <w:tc>
          <w:tcPr>
            <w:tcW w:w="3150" w:type="dxa"/>
          </w:tcPr>
          <w:p w14:paraId="4A647E64" w14:textId="77777777" w:rsidR="00BE405E" w:rsidRDefault="00BE405E" w:rsidP="00BE405E"/>
        </w:tc>
        <w:tc>
          <w:tcPr>
            <w:tcW w:w="1170" w:type="dxa"/>
          </w:tcPr>
          <w:p w14:paraId="0C5197FA" w14:textId="77777777" w:rsidR="00BE405E" w:rsidRDefault="00BE405E" w:rsidP="00BE405E"/>
        </w:tc>
        <w:tc>
          <w:tcPr>
            <w:tcW w:w="1080" w:type="dxa"/>
          </w:tcPr>
          <w:p w14:paraId="313FF689" w14:textId="77777777" w:rsidR="00BE405E" w:rsidRDefault="00BE405E" w:rsidP="00BE405E"/>
        </w:tc>
        <w:tc>
          <w:tcPr>
            <w:tcW w:w="1080" w:type="dxa"/>
          </w:tcPr>
          <w:p w14:paraId="7DE1BFC1" w14:textId="77777777" w:rsidR="00BE405E" w:rsidRDefault="00BE405E" w:rsidP="00BE405E"/>
        </w:tc>
      </w:tr>
    </w:tbl>
    <w:p w14:paraId="3D0DB875" w14:textId="77777777" w:rsidR="00530B6E" w:rsidRDefault="00530B6E" w:rsidP="00530B6E">
      <w:pPr>
        <w:pStyle w:val="ListParagraph"/>
        <w:spacing w:after="0"/>
      </w:pPr>
    </w:p>
    <w:p w14:paraId="375B8006" w14:textId="77777777" w:rsidR="007C1202" w:rsidRPr="004E65EC" w:rsidRDefault="007C1202" w:rsidP="007C1202">
      <w:pPr>
        <w:spacing w:after="0"/>
        <w:rPr>
          <w:sz w:val="18"/>
          <w:szCs w:val="18"/>
        </w:rPr>
      </w:pPr>
      <w:r>
        <w:t xml:space="preserve">* </w:t>
      </w:r>
      <w:r w:rsidRPr="004E65EC">
        <w:rPr>
          <w:sz w:val="18"/>
          <w:szCs w:val="18"/>
        </w:rPr>
        <w:t xml:space="preserve">Descriptions of the general education outcomes are included for your reference at the end of this document. </w:t>
      </w:r>
    </w:p>
    <w:p w14:paraId="355756C2" w14:textId="77777777" w:rsidR="00E27134" w:rsidRDefault="00E27134" w:rsidP="00E27134">
      <w:pPr>
        <w:pStyle w:val="ListParagraph"/>
        <w:numPr>
          <w:ilvl w:val="0"/>
          <w:numId w:val="1"/>
        </w:numPr>
        <w:spacing w:after="0"/>
      </w:pPr>
      <w:bookmarkStart w:id="0" w:name="_GoBack"/>
      <w:bookmarkEnd w:id="0"/>
      <w:r>
        <w:lastRenderedPageBreak/>
        <w:t>Complete the table above by providing the following:</w:t>
      </w:r>
    </w:p>
    <w:p w14:paraId="72A8103D" w14:textId="77777777" w:rsidR="00E27134" w:rsidRDefault="00E27134" w:rsidP="00E27134">
      <w:pPr>
        <w:pStyle w:val="ListParagraph"/>
        <w:numPr>
          <w:ilvl w:val="0"/>
          <w:numId w:val="2"/>
        </w:numPr>
        <w:spacing w:after="0"/>
      </w:pPr>
      <w:r>
        <w:t>The student learning outcomes being assessed within your general education course. (please add additional rows if necessary)</w:t>
      </w:r>
    </w:p>
    <w:p w14:paraId="3483E41B" w14:textId="77777777" w:rsidR="00E27134" w:rsidRDefault="00E27134" w:rsidP="00E27134">
      <w:pPr>
        <w:pStyle w:val="ListParagraph"/>
        <w:numPr>
          <w:ilvl w:val="0"/>
          <w:numId w:val="2"/>
        </w:numPr>
        <w:spacing w:after="0"/>
      </w:pPr>
      <w:r>
        <w:t xml:space="preserve">The general education outcome that most closely aligns with the student learning outcome. </w:t>
      </w:r>
    </w:p>
    <w:p w14:paraId="42D2A1AC" w14:textId="77777777" w:rsidR="00E27134" w:rsidRDefault="00E27134" w:rsidP="00E27134">
      <w:pPr>
        <w:pStyle w:val="ListParagraph"/>
        <w:numPr>
          <w:ilvl w:val="0"/>
          <w:numId w:val="2"/>
        </w:numPr>
        <w:spacing w:after="0"/>
      </w:pPr>
      <w:r>
        <w:t xml:space="preserve">The assignment(s) or performance observation(s) that will be used to address the corresponding student learning outcome.  These assignments or performance observations should be common to each section of the general education course. </w:t>
      </w:r>
    </w:p>
    <w:p w14:paraId="2591105D" w14:textId="3503C8B7" w:rsidR="00E27134" w:rsidRDefault="00E27134" w:rsidP="00E27134">
      <w:pPr>
        <w:pStyle w:val="ListParagraph"/>
        <w:numPr>
          <w:ilvl w:val="0"/>
          <w:numId w:val="2"/>
        </w:numPr>
        <w:spacing w:after="0"/>
      </w:pPr>
      <w:r>
        <w:t>Based on the res</w:t>
      </w:r>
      <w:r w:rsidR="004E65EC">
        <w:t>ults of your assessment</w:t>
      </w:r>
      <w:r>
        <w:t>, identify the percentage of students whose performance exceeded your expecta</w:t>
      </w:r>
      <w:r w:rsidR="004E65EC">
        <w:t>tions, met your expectations, and</w:t>
      </w:r>
      <w:r>
        <w:t xml:space="preserve"> did not meet your expectations for each outcome. </w:t>
      </w:r>
    </w:p>
    <w:p w14:paraId="6A4922B6" w14:textId="77777777" w:rsidR="00C66F8C" w:rsidRDefault="00C66F8C" w:rsidP="00C66F8C">
      <w:pPr>
        <w:pStyle w:val="ListParagraph"/>
        <w:spacing w:after="0"/>
        <w:ind w:left="1080"/>
      </w:pPr>
    </w:p>
    <w:p w14:paraId="492D8133" w14:textId="77777777" w:rsidR="00EF79DC" w:rsidRDefault="00EF79DC" w:rsidP="00EF79DC">
      <w:pPr>
        <w:pStyle w:val="ListParagraph"/>
        <w:numPr>
          <w:ilvl w:val="0"/>
          <w:numId w:val="1"/>
        </w:numPr>
        <w:spacing w:after="0"/>
      </w:pPr>
      <w:r>
        <w:t>Answer the following questions</w:t>
      </w:r>
      <w:r w:rsidR="00F31DB5">
        <w:t xml:space="preserve"> based on your assessment results</w:t>
      </w:r>
      <w:r>
        <w:t>:</w:t>
      </w:r>
    </w:p>
    <w:p w14:paraId="45C27325" w14:textId="7434D717" w:rsidR="00EF79DC" w:rsidRDefault="00F31DB5" w:rsidP="00C66F8C">
      <w:pPr>
        <w:pStyle w:val="ListParagraph"/>
        <w:numPr>
          <w:ilvl w:val="0"/>
          <w:numId w:val="7"/>
        </w:numPr>
        <w:spacing w:after="0"/>
      </w:pPr>
      <w:r>
        <w:t>I</w:t>
      </w:r>
      <w:r w:rsidR="00EF79DC">
        <w:t>dentify</w:t>
      </w:r>
      <w:r w:rsidR="00A91CAF">
        <w:t xml:space="preserve"> the strengths of your students</w:t>
      </w:r>
      <w:r w:rsidR="00C66F8C">
        <w:t>.</w:t>
      </w:r>
    </w:p>
    <w:p w14:paraId="4FC819B3" w14:textId="249C276F" w:rsidR="00EF79DC" w:rsidRDefault="00F31DB5" w:rsidP="00C66F8C">
      <w:pPr>
        <w:pStyle w:val="ListParagraph"/>
        <w:numPr>
          <w:ilvl w:val="0"/>
          <w:numId w:val="7"/>
        </w:numPr>
        <w:spacing w:after="0"/>
      </w:pPr>
      <w:r>
        <w:t>I</w:t>
      </w:r>
      <w:r w:rsidR="00EF79DC">
        <w:t xml:space="preserve">dentify </w:t>
      </w:r>
      <w:r w:rsidR="00A91CAF">
        <w:t xml:space="preserve">the weaknesses of your students </w:t>
      </w:r>
    </w:p>
    <w:p w14:paraId="4A8EB7E7" w14:textId="41D85E08" w:rsidR="00EF79DC" w:rsidRDefault="00F31DB5" w:rsidP="00C66F8C">
      <w:pPr>
        <w:pStyle w:val="ListParagraph"/>
        <w:numPr>
          <w:ilvl w:val="0"/>
          <w:numId w:val="7"/>
        </w:numPr>
        <w:spacing w:after="0"/>
      </w:pPr>
      <w:r>
        <w:t>W</w:t>
      </w:r>
      <w:r w:rsidR="00EF79DC">
        <w:t xml:space="preserve">hat action item(s) will the department address in the next academic year? </w:t>
      </w:r>
    </w:p>
    <w:p w14:paraId="6031E485" w14:textId="15A18E97" w:rsidR="00EF79DC" w:rsidRPr="0079689D" w:rsidRDefault="00EF79DC" w:rsidP="00C66F8C">
      <w:pPr>
        <w:pStyle w:val="ListParagraph"/>
        <w:numPr>
          <w:ilvl w:val="0"/>
          <w:numId w:val="7"/>
        </w:numPr>
        <w:spacing w:after="0"/>
      </w:pPr>
      <w:r w:rsidRPr="0079689D">
        <w:t>If your department repo</w:t>
      </w:r>
      <w:r w:rsidR="00F31DB5">
        <w:t>rted information from question 2</w:t>
      </w:r>
      <w:r w:rsidRPr="0079689D">
        <w:t xml:space="preserve">c last year, summarize how your department addressed the action item(s) from the previous year. What were your results? </w:t>
      </w:r>
    </w:p>
    <w:p w14:paraId="7518A6B8" w14:textId="71E7F259" w:rsidR="00EF79DC" w:rsidRDefault="00F31DB5" w:rsidP="00C66F8C">
      <w:pPr>
        <w:pStyle w:val="ListParagraph"/>
        <w:numPr>
          <w:ilvl w:val="0"/>
          <w:numId w:val="7"/>
        </w:numPr>
        <w:spacing w:after="0"/>
      </w:pPr>
      <w:r>
        <w:t>W</w:t>
      </w:r>
      <w:r w:rsidR="00EF79DC">
        <w:t xml:space="preserve">hat action item(s) do you recommend the institution address in the next academic year? </w:t>
      </w:r>
    </w:p>
    <w:p w14:paraId="4DC0C9F8" w14:textId="77777777" w:rsidR="00EF79DC" w:rsidRDefault="00EF79DC" w:rsidP="00EF79DC">
      <w:pPr>
        <w:spacing w:after="0"/>
      </w:pPr>
    </w:p>
    <w:p w14:paraId="781102EF" w14:textId="77777777" w:rsidR="00EF79DC" w:rsidRDefault="00F31DB5" w:rsidP="00EF79DC">
      <w:pPr>
        <w:pStyle w:val="ListParagraph"/>
        <w:numPr>
          <w:ilvl w:val="0"/>
          <w:numId w:val="1"/>
        </w:numPr>
        <w:spacing w:after="0"/>
      </w:pPr>
      <w:r>
        <w:t xml:space="preserve">Please submit </w:t>
      </w:r>
      <w:r w:rsidR="00EF79DC">
        <w:t xml:space="preserve">a copy of </w:t>
      </w:r>
      <w:r w:rsidR="00EF79DC" w:rsidRPr="00E90767">
        <w:t xml:space="preserve">the master syllabus for </w:t>
      </w:r>
      <w:r w:rsidR="00EF79DC">
        <w:t>this general education</w:t>
      </w:r>
      <w:r w:rsidR="00EF79DC" w:rsidRPr="00E90767">
        <w:t xml:space="preserve"> course</w:t>
      </w:r>
      <w:r>
        <w:t xml:space="preserve"> with your completed report. </w:t>
      </w:r>
    </w:p>
    <w:p w14:paraId="3FAA94D8" w14:textId="77777777" w:rsidR="00826DFF" w:rsidRDefault="00826DFF" w:rsidP="00826DFF">
      <w:pPr>
        <w:spacing w:after="0"/>
      </w:pPr>
    </w:p>
    <w:p w14:paraId="0E1CEC6D" w14:textId="77777777" w:rsidR="00826DFF" w:rsidRDefault="00826DFF">
      <w:r>
        <w:br w:type="page"/>
      </w:r>
    </w:p>
    <w:p w14:paraId="06A6CFCB" w14:textId="77777777" w:rsidR="00826DFF" w:rsidRDefault="00826DFF" w:rsidP="00826DFF">
      <w:pPr>
        <w:spacing w:after="0"/>
        <w:rPr>
          <w:b/>
          <w:i/>
          <w:lang w:eastAsia="x-none"/>
        </w:rPr>
      </w:pPr>
      <w:r>
        <w:rPr>
          <w:b/>
          <w:i/>
          <w:lang w:eastAsia="x-none"/>
        </w:rPr>
        <w:lastRenderedPageBreak/>
        <w:t>General Education Outcomes</w:t>
      </w:r>
    </w:p>
    <w:p w14:paraId="487E4915" w14:textId="77777777" w:rsidR="00826DFF" w:rsidRDefault="00826DFF" w:rsidP="00826DFF">
      <w:pPr>
        <w:spacing w:after="0"/>
        <w:rPr>
          <w:b/>
          <w:i/>
          <w:lang w:eastAsia="x-none"/>
        </w:rPr>
      </w:pPr>
    </w:p>
    <w:p w14:paraId="2FC67628" w14:textId="77777777" w:rsidR="00826DFF" w:rsidRPr="00826DFF" w:rsidRDefault="00826DFF" w:rsidP="00826DFF">
      <w:pPr>
        <w:pStyle w:val="ListParagraph"/>
        <w:numPr>
          <w:ilvl w:val="0"/>
          <w:numId w:val="4"/>
        </w:numPr>
        <w:spacing w:after="0"/>
        <w:rPr>
          <w:i/>
          <w:lang w:eastAsia="x-none"/>
        </w:rPr>
      </w:pPr>
      <w:r w:rsidRPr="00826DFF">
        <w:rPr>
          <w:b/>
          <w:i/>
          <w:lang w:eastAsia="x-none"/>
        </w:rPr>
        <w:t>Communication:</w:t>
      </w:r>
      <w:r w:rsidRPr="00826DFF">
        <w:rPr>
          <w:i/>
          <w:lang w:eastAsia="x-none"/>
        </w:rPr>
        <w:t xml:space="preserve"> UT students must demonstrate abilities to communicate meaningfully, persuasively, and creatively with different audiences through written, oral, numeric, graphic and visual modes.</w:t>
      </w:r>
    </w:p>
    <w:p w14:paraId="6BAFB9F7" w14:textId="77777777" w:rsidR="00826DFF" w:rsidRDefault="00826DFF" w:rsidP="00826DFF">
      <w:pPr>
        <w:spacing w:after="0"/>
        <w:rPr>
          <w:i/>
          <w:lang w:eastAsia="x-none"/>
        </w:rPr>
      </w:pPr>
    </w:p>
    <w:p w14:paraId="4F7E25FA" w14:textId="77777777" w:rsidR="00826DFF" w:rsidRPr="00826DFF" w:rsidRDefault="00826DFF" w:rsidP="00826DFF">
      <w:pPr>
        <w:pStyle w:val="ListParagraph"/>
        <w:numPr>
          <w:ilvl w:val="0"/>
          <w:numId w:val="4"/>
        </w:numPr>
        <w:spacing w:after="0"/>
        <w:rPr>
          <w:i/>
          <w:lang w:eastAsia="x-none"/>
        </w:rPr>
      </w:pPr>
      <w:r w:rsidRPr="00826DFF">
        <w:rPr>
          <w:b/>
          <w:i/>
          <w:lang w:eastAsia="x-none"/>
        </w:rPr>
        <w:t>Scientific and Quantitative Reasoning and Literacy:</w:t>
      </w:r>
      <w:r w:rsidRPr="00826DFF">
        <w:rPr>
          <w:i/>
          <w:lang w:eastAsia="x-none"/>
        </w:rPr>
        <w:t xml:space="preserve"> UT students must demonstrate the capacity to apply mathematical reasoning and scientific inquiry to diverse problems.</w:t>
      </w:r>
    </w:p>
    <w:p w14:paraId="3583BB5E" w14:textId="77777777" w:rsidR="00826DFF" w:rsidRDefault="00826DFF" w:rsidP="00826DFF">
      <w:pPr>
        <w:spacing w:after="0"/>
      </w:pPr>
    </w:p>
    <w:p w14:paraId="19B7CCEF" w14:textId="77777777" w:rsidR="00826DFF" w:rsidRDefault="00826DFF" w:rsidP="00826DFF">
      <w:pPr>
        <w:pStyle w:val="ListParagraph"/>
        <w:numPr>
          <w:ilvl w:val="0"/>
          <w:numId w:val="4"/>
        </w:numPr>
        <w:rPr>
          <w:i/>
          <w:lang w:eastAsia="x-none"/>
        </w:rPr>
      </w:pPr>
      <w:r w:rsidRPr="00826DFF">
        <w:rPr>
          <w:b/>
          <w:i/>
          <w:lang w:eastAsia="x-none"/>
        </w:rPr>
        <w:t>Personal, Social, and Global Responsibility:</w:t>
      </w:r>
      <w:r w:rsidRPr="00826DFF">
        <w:rPr>
          <w:i/>
          <w:lang w:eastAsia="x-none"/>
        </w:rPr>
        <w:t xml:space="preserve"> UT students must demonstrate understanding  of and critical engagement  in ethical, cultural, and political discourse and capacity to work productively as a community member committed to the value of diversity, difference, and the imperatives of justice. </w:t>
      </w:r>
    </w:p>
    <w:p w14:paraId="3B3DA0C0" w14:textId="77777777" w:rsidR="00826DFF" w:rsidRPr="00826DFF" w:rsidRDefault="00826DFF" w:rsidP="00826DFF">
      <w:pPr>
        <w:pStyle w:val="ListParagraph"/>
        <w:rPr>
          <w:i/>
          <w:lang w:eastAsia="x-none"/>
        </w:rPr>
      </w:pPr>
    </w:p>
    <w:p w14:paraId="464CBADE" w14:textId="77777777" w:rsidR="00826DFF" w:rsidRDefault="00826DFF" w:rsidP="00826DFF">
      <w:pPr>
        <w:pStyle w:val="ListParagraph"/>
        <w:numPr>
          <w:ilvl w:val="0"/>
          <w:numId w:val="4"/>
        </w:numPr>
        <w:rPr>
          <w:i/>
          <w:lang w:eastAsia="x-none"/>
        </w:rPr>
      </w:pPr>
      <w:r w:rsidRPr="00826DFF">
        <w:rPr>
          <w:b/>
          <w:i/>
          <w:lang w:eastAsia="x-none"/>
        </w:rPr>
        <w:t>Information Literacy:</w:t>
      </w:r>
      <w:r w:rsidRPr="00826DFF">
        <w:rPr>
          <w:i/>
          <w:lang w:eastAsia="x-none"/>
        </w:rPr>
        <w:t xml:space="preserve"> UT students must demonstrate the ability to find, organize, critically assess, and effectively use information to engage in advanced work in a challenging field of study. Students should demonstrate responsible, legal, creative, and ethical use of information. </w:t>
      </w:r>
    </w:p>
    <w:p w14:paraId="08A9BDAE" w14:textId="77777777" w:rsidR="00826DFF" w:rsidRPr="00826DFF" w:rsidRDefault="00826DFF" w:rsidP="00826DFF">
      <w:pPr>
        <w:pStyle w:val="ListParagraph"/>
        <w:rPr>
          <w:i/>
          <w:lang w:eastAsia="x-none"/>
        </w:rPr>
      </w:pPr>
    </w:p>
    <w:p w14:paraId="72DE6651" w14:textId="2D5F703F" w:rsidR="00EF79DC" w:rsidRDefault="00826DFF" w:rsidP="00826DFF">
      <w:pPr>
        <w:pStyle w:val="ListParagraph"/>
        <w:numPr>
          <w:ilvl w:val="0"/>
          <w:numId w:val="4"/>
        </w:numPr>
      </w:pPr>
      <w:r w:rsidRPr="00826DFF">
        <w:rPr>
          <w:b/>
          <w:i/>
          <w:lang w:eastAsia="x-none"/>
        </w:rPr>
        <w:t>Critical Thinking and Integrative Learning:</w:t>
      </w:r>
      <w:r w:rsidRPr="00826DFF">
        <w:rPr>
          <w:i/>
          <w:lang w:eastAsia="x-none"/>
        </w:rPr>
        <w:t xml:space="preserve"> UT students must be able to integrate reasoning, questioning, and analysis across traditional boundaries of viewpoint, practice, and discipline.</w:t>
      </w:r>
    </w:p>
    <w:p w14:paraId="590834C6" w14:textId="77777777" w:rsidR="009935CB" w:rsidRDefault="009935CB"/>
    <w:sectPr w:rsidR="009935CB" w:rsidSect="00F83DDE">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9F47E" w14:textId="77777777" w:rsidR="00262DFB" w:rsidRDefault="00262DFB" w:rsidP="0057468D">
      <w:pPr>
        <w:spacing w:after="0" w:line="240" w:lineRule="auto"/>
      </w:pPr>
      <w:r>
        <w:separator/>
      </w:r>
    </w:p>
  </w:endnote>
  <w:endnote w:type="continuationSeparator" w:id="0">
    <w:p w14:paraId="14140D8A" w14:textId="77777777" w:rsidR="00262DFB" w:rsidRDefault="00262DFB" w:rsidP="0057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ochin">
    <w:altName w:val="Trebuchet MS"/>
    <w:charset w:val="00"/>
    <w:family w:val="auto"/>
    <w:pitch w:val="variable"/>
    <w:sig w:usb0="00000001" w:usb1="4000004A" w:usb2="00000000" w:usb3="00000000" w:csb0="0000000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E929" w14:textId="77777777" w:rsidR="00411A0E" w:rsidRDefault="00411A0E" w:rsidP="00411A0E">
    <w:pPr>
      <w:pStyle w:val="Default"/>
    </w:pPr>
    <w:r w:rsidRPr="007173E8">
      <w:rPr>
        <w:rFonts w:asciiTheme="minorHAnsi" w:hAnsiTheme="minorHAnsi"/>
        <w:sz w:val="18"/>
        <w:szCs w:val="18"/>
      </w:rPr>
      <w:t xml:space="preserve">Adapted from: </w:t>
    </w:r>
    <w:r w:rsidRPr="007173E8">
      <w:rPr>
        <w:rFonts w:asciiTheme="minorHAnsi" w:hAnsiTheme="minorHAnsi" w:cstheme="minorBidi"/>
        <w:color w:val="auto"/>
        <w:sz w:val="18"/>
        <w:szCs w:val="18"/>
      </w:rPr>
      <w:t xml:space="preserve">Walvoord, B. E. (2010). </w:t>
    </w:r>
    <w:r w:rsidRPr="007173E8">
      <w:rPr>
        <w:rFonts w:asciiTheme="minorHAnsi" w:hAnsiTheme="minorHAnsi"/>
        <w:i/>
        <w:iCs/>
        <w:color w:val="auto"/>
        <w:sz w:val="18"/>
        <w:szCs w:val="18"/>
      </w:rPr>
      <w:t xml:space="preserve">Assessment clear and simple: a practical guide for institutions, departments, and general education. </w:t>
    </w:r>
    <w:r>
      <w:rPr>
        <w:rFonts w:asciiTheme="minorHAnsi" w:hAnsiTheme="minorHAnsi"/>
        <w:color w:val="auto"/>
        <w:sz w:val="18"/>
        <w:szCs w:val="18"/>
      </w:rPr>
      <w:t xml:space="preserve">San Francisco, CA: Jossey-Bass. </w:t>
    </w:r>
  </w:p>
  <w:sdt>
    <w:sdtPr>
      <w:rPr>
        <w:sz w:val="16"/>
        <w:szCs w:val="16"/>
      </w:rPr>
      <w:id w:val="1006938741"/>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5FCF68C5" w14:textId="35D3EB9A" w:rsidR="00411A0E" w:rsidRPr="00411A0E" w:rsidRDefault="00411A0E">
            <w:pPr>
              <w:pStyle w:val="Footer"/>
              <w:jc w:val="right"/>
              <w:rPr>
                <w:sz w:val="16"/>
                <w:szCs w:val="16"/>
              </w:rPr>
            </w:pPr>
            <w:r w:rsidRPr="00411A0E">
              <w:rPr>
                <w:sz w:val="16"/>
                <w:szCs w:val="16"/>
              </w:rPr>
              <w:t xml:space="preserve">Page </w:t>
            </w:r>
            <w:r w:rsidRPr="00411A0E">
              <w:rPr>
                <w:b/>
                <w:bCs/>
                <w:sz w:val="16"/>
                <w:szCs w:val="16"/>
              </w:rPr>
              <w:fldChar w:fldCharType="begin"/>
            </w:r>
            <w:r w:rsidRPr="00411A0E">
              <w:rPr>
                <w:b/>
                <w:bCs/>
                <w:sz w:val="16"/>
                <w:szCs w:val="16"/>
              </w:rPr>
              <w:instrText xml:space="preserve"> PAGE </w:instrText>
            </w:r>
            <w:r w:rsidRPr="00411A0E">
              <w:rPr>
                <w:b/>
                <w:bCs/>
                <w:sz w:val="16"/>
                <w:szCs w:val="16"/>
              </w:rPr>
              <w:fldChar w:fldCharType="separate"/>
            </w:r>
            <w:r w:rsidR="007C1202">
              <w:rPr>
                <w:b/>
                <w:bCs/>
                <w:noProof/>
                <w:sz w:val="16"/>
                <w:szCs w:val="16"/>
              </w:rPr>
              <w:t>1</w:t>
            </w:r>
            <w:r w:rsidRPr="00411A0E">
              <w:rPr>
                <w:b/>
                <w:bCs/>
                <w:sz w:val="16"/>
                <w:szCs w:val="16"/>
              </w:rPr>
              <w:fldChar w:fldCharType="end"/>
            </w:r>
            <w:r w:rsidRPr="00411A0E">
              <w:rPr>
                <w:sz w:val="16"/>
                <w:szCs w:val="16"/>
              </w:rPr>
              <w:t xml:space="preserve"> of </w:t>
            </w:r>
            <w:r w:rsidRPr="00411A0E">
              <w:rPr>
                <w:b/>
                <w:bCs/>
                <w:sz w:val="16"/>
                <w:szCs w:val="16"/>
              </w:rPr>
              <w:fldChar w:fldCharType="begin"/>
            </w:r>
            <w:r w:rsidRPr="00411A0E">
              <w:rPr>
                <w:b/>
                <w:bCs/>
                <w:sz w:val="16"/>
                <w:szCs w:val="16"/>
              </w:rPr>
              <w:instrText xml:space="preserve"> NUMPAGES  </w:instrText>
            </w:r>
            <w:r w:rsidRPr="00411A0E">
              <w:rPr>
                <w:b/>
                <w:bCs/>
                <w:sz w:val="16"/>
                <w:szCs w:val="16"/>
              </w:rPr>
              <w:fldChar w:fldCharType="separate"/>
            </w:r>
            <w:r w:rsidR="007C1202">
              <w:rPr>
                <w:b/>
                <w:bCs/>
                <w:noProof/>
                <w:sz w:val="16"/>
                <w:szCs w:val="16"/>
              </w:rPr>
              <w:t>3</w:t>
            </w:r>
            <w:r w:rsidRPr="00411A0E">
              <w:rPr>
                <w:b/>
                <w:bCs/>
                <w:sz w:val="16"/>
                <w:szCs w:val="16"/>
              </w:rPr>
              <w:fldChar w:fldCharType="end"/>
            </w:r>
          </w:p>
        </w:sdtContent>
      </w:sdt>
    </w:sdtContent>
  </w:sdt>
  <w:p w14:paraId="01BE12F5" w14:textId="15FF99AA" w:rsidR="00262DFB" w:rsidRPr="00411A0E" w:rsidRDefault="00262DFB" w:rsidP="00411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D79CE" w14:textId="77777777" w:rsidR="00262DFB" w:rsidRDefault="00262DFB" w:rsidP="0057468D">
      <w:pPr>
        <w:spacing w:after="0" w:line="240" w:lineRule="auto"/>
      </w:pPr>
      <w:r>
        <w:separator/>
      </w:r>
    </w:p>
  </w:footnote>
  <w:footnote w:type="continuationSeparator" w:id="0">
    <w:p w14:paraId="669A8E26" w14:textId="77777777" w:rsidR="00262DFB" w:rsidRDefault="00262DFB" w:rsidP="00574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97DA4" w14:textId="77777777" w:rsidR="00236B1B" w:rsidRDefault="00236B1B" w:rsidP="007F00D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8FA"/>
    <w:multiLevelType w:val="hybridMultilevel"/>
    <w:tmpl w:val="2910A6F8"/>
    <w:lvl w:ilvl="0" w:tplc="EADCBED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30895"/>
    <w:multiLevelType w:val="hybridMultilevel"/>
    <w:tmpl w:val="7AEAD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C0790"/>
    <w:multiLevelType w:val="hybridMultilevel"/>
    <w:tmpl w:val="28385448"/>
    <w:lvl w:ilvl="0" w:tplc="59BC1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5070EA"/>
    <w:multiLevelType w:val="hybridMultilevel"/>
    <w:tmpl w:val="2FA63B00"/>
    <w:lvl w:ilvl="0" w:tplc="B1909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2B1B56"/>
    <w:multiLevelType w:val="hybridMultilevel"/>
    <w:tmpl w:val="4D40FA42"/>
    <w:lvl w:ilvl="0" w:tplc="39C2479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D32B6"/>
    <w:multiLevelType w:val="hybridMultilevel"/>
    <w:tmpl w:val="5FF46B64"/>
    <w:lvl w:ilvl="0" w:tplc="B1909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D00CC"/>
    <w:multiLevelType w:val="hybridMultilevel"/>
    <w:tmpl w:val="1E449424"/>
    <w:lvl w:ilvl="0" w:tplc="5E460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E5039E"/>
    <w:multiLevelType w:val="hybridMultilevel"/>
    <w:tmpl w:val="8CB68A46"/>
    <w:lvl w:ilvl="0" w:tplc="C838C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364A13"/>
    <w:multiLevelType w:val="hybridMultilevel"/>
    <w:tmpl w:val="1E449424"/>
    <w:lvl w:ilvl="0" w:tplc="5E460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7"/>
  </w:num>
  <w:num w:numId="5">
    <w:abstractNumId w:val="5"/>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DC"/>
    <w:rsid w:val="000A6ABE"/>
    <w:rsid w:val="000E2ECD"/>
    <w:rsid w:val="00143C32"/>
    <w:rsid w:val="00180A31"/>
    <w:rsid w:val="001A658F"/>
    <w:rsid w:val="002132F3"/>
    <w:rsid w:val="0022364F"/>
    <w:rsid w:val="00236B1B"/>
    <w:rsid w:val="00262DFB"/>
    <w:rsid w:val="0030502A"/>
    <w:rsid w:val="00411A0E"/>
    <w:rsid w:val="004228A0"/>
    <w:rsid w:val="00437FC6"/>
    <w:rsid w:val="0045088F"/>
    <w:rsid w:val="00464103"/>
    <w:rsid w:val="004A0AC8"/>
    <w:rsid w:val="004E65EC"/>
    <w:rsid w:val="005265F3"/>
    <w:rsid w:val="00530B6E"/>
    <w:rsid w:val="0057468D"/>
    <w:rsid w:val="006715BF"/>
    <w:rsid w:val="007C1202"/>
    <w:rsid w:val="007F00DC"/>
    <w:rsid w:val="00826DFF"/>
    <w:rsid w:val="009935CB"/>
    <w:rsid w:val="00A04943"/>
    <w:rsid w:val="00A91CAF"/>
    <w:rsid w:val="00AA45BF"/>
    <w:rsid w:val="00AF1D40"/>
    <w:rsid w:val="00B211E5"/>
    <w:rsid w:val="00B42E47"/>
    <w:rsid w:val="00B63943"/>
    <w:rsid w:val="00BE405E"/>
    <w:rsid w:val="00C230A8"/>
    <w:rsid w:val="00C66F8C"/>
    <w:rsid w:val="00CA272C"/>
    <w:rsid w:val="00D44290"/>
    <w:rsid w:val="00D84182"/>
    <w:rsid w:val="00E27134"/>
    <w:rsid w:val="00EF2606"/>
    <w:rsid w:val="00EF79DC"/>
    <w:rsid w:val="00F23595"/>
    <w:rsid w:val="00F31DB5"/>
    <w:rsid w:val="00F83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4084BA"/>
  <w15:docId w15:val="{A7405618-94BE-4F6D-B06F-9FDF8E46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9DC"/>
    <w:pPr>
      <w:ind w:left="720"/>
      <w:contextualSpacing/>
    </w:pPr>
  </w:style>
  <w:style w:type="paragraph" w:styleId="Header">
    <w:name w:val="header"/>
    <w:basedOn w:val="Normal"/>
    <w:link w:val="HeaderChar"/>
    <w:uiPriority w:val="99"/>
    <w:unhideWhenUsed/>
    <w:rsid w:val="00EF7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9DC"/>
  </w:style>
  <w:style w:type="paragraph" w:styleId="Footer">
    <w:name w:val="footer"/>
    <w:basedOn w:val="Normal"/>
    <w:link w:val="FooterChar"/>
    <w:uiPriority w:val="99"/>
    <w:unhideWhenUsed/>
    <w:rsid w:val="00EF7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DC"/>
  </w:style>
  <w:style w:type="paragraph" w:customStyle="1" w:styleId="Default">
    <w:name w:val="Default"/>
    <w:rsid w:val="00EF79DC"/>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BalloonText">
    <w:name w:val="Balloon Text"/>
    <w:basedOn w:val="Normal"/>
    <w:link w:val="BalloonTextChar"/>
    <w:uiPriority w:val="99"/>
    <w:semiHidden/>
    <w:unhideWhenUsed/>
    <w:rsid w:val="00EF2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Alana</dc:creator>
  <cp:lastModifiedBy>Malik, Alana</cp:lastModifiedBy>
  <cp:revision>7</cp:revision>
  <cp:lastPrinted>2014-09-24T18:47:00Z</cp:lastPrinted>
  <dcterms:created xsi:type="dcterms:W3CDTF">2014-09-04T19:02:00Z</dcterms:created>
  <dcterms:modified xsi:type="dcterms:W3CDTF">2015-01-26T15:45:00Z</dcterms:modified>
</cp:coreProperties>
</file>