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F715B9" w:rsidRDefault="00617B70">
      <w:pPr>
        <w:jc w:val="center"/>
        <w:rPr>
          <w:b/>
          <w:bCs/>
          <w:sz w:val="28"/>
          <w:szCs w:val="28"/>
        </w:rPr>
      </w:pPr>
      <w:r w:rsidRPr="00F715B9">
        <w:rPr>
          <w:b/>
          <w:bCs/>
          <w:sz w:val="28"/>
          <w:szCs w:val="28"/>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77777777" w:rsidR="00B81C40" w:rsidRPr="00F715B9" w:rsidRDefault="00CB5DE6">
      <w:pPr>
        <w:jc w:val="center"/>
        <w:rPr>
          <w:b/>
          <w:sz w:val="28"/>
          <w:szCs w:val="28"/>
        </w:rPr>
      </w:pPr>
      <w:r>
        <w:rPr>
          <w:b/>
          <w:sz w:val="28"/>
          <w:szCs w:val="28"/>
        </w:rPr>
        <w:t>May 11</w:t>
      </w:r>
      <w:r w:rsidR="00CD317F">
        <w:rPr>
          <w:b/>
          <w:sz w:val="28"/>
          <w:szCs w:val="28"/>
        </w:rPr>
        <w:t>, 2015</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00613E" w14:paraId="7905BE07" w14:textId="77777777" w:rsidTr="00EC7A4F">
        <w:trPr>
          <w:trHeight w:val="20"/>
        </w:trPr>
        <w:tc>
          <w:tcPr>
            <w:tcW w:w="7830" w:type="dxa"/>
          </w:tcPr>
          <w:p w14:paraId="11FCC103" w14:textId="77777777" w:rsidR="004A02CF" w:rsidRDefault="00034074" w:rsidP="001D7DC1">
            <w:pPr>
              <w:rPr>
                <w:szCs w:val="24"/>
              </w:rPr>
            </w:pPr>
            <w:r w:rsidRPr="0000613E">
              <w:rPr>
                <w:szCs w:val="24"/>
              </w:rPr>
              <w:t>Committee Chair</w:t>
            </w:r>
            <w:r w:rsidR="00C246AE" w:rsidRPr="0000613E">
              <w:rPr>
                <w:szCs w:val="24"/>
              </w:rPr>
              <w:t xml:space="preserve"> </w:t>
            </w:r>
            <w:r w:rsidR="00BD3C3E" w:rsidRPr="0000613E">
              <w:rPr>
                <w:szCs w:val="24"/>
              </w:rPr>
              <w:t>Mr. John S. Szuch</w:t>
            </w:r>
            <w:r w:rsidR="00ED16DD" w:rsidRPr="0000613E">
              <w:rPr>
                <w:szCs w:val="24"/>
              </w:rPr>
              <w:t xml:space="preserve"> was prese</w:t>
            </w:r>
            <w:r w:rsidR="00FE2A21" w:rsidRPr="0000613E">
              <w:rPr>
                <w:szCs w:val="24"/>
              </w:rPr>
              <w:t>nt</w:t>
            </w:r>
            <w:r w:rsidR="00CB5DE6">
              <w:rPr>
                <w:szCs w:val="24"/>
              </w:rPr>
              <w:t xml:space="preserve"> with Committee members Mr. Steven M. Cavanaugh, and Mr. Jeffrey C. Cole. </w:t>
            </w:r>
            <w:r w:rsidR="00CD317F">
              <w:rPr>
                <w:szCs w:val="24"/>
              </w:rPr>
              <w:t xml:space="preserve">Other </w:t>
            </w:r>
            <w:r w:rsidR="00CB5DE6">
              <w:rPr>
                <w:szCs w:val="24"/>
              </w:rPr>
              <w:t xml:space="preserve">Trustees attending included </w:t>
            </w:r>
            <w:r w:rsidR="005248C5">
              <w:rPr>
                <w:szCs w:val="24"/>
              </w:rPr>
              <w:t xml:space="preserve">Dr. S. Amjad Hussain, </w:t>
            </w:r>
            <w:r w:rsidR="00CD317F">
              <w:rPr>
                <w:szCs w:val="24"/>
              </w:rPr>
              <w:t>Ms. Sharon Speyer</w:t>
            </w:r>
            <w:r w:rsidR="00CB5DE6">
              <w:rPr>
                <w:szCs w:val="24"/>
              </w:rPr>
              <w:t xml:space="preserve">, Mr. Gary P. Thieman, and Mr. Joseph H. Zerbey, IV. </w:t>
            </w:r>
            <w:r w:rsidR="006E7038" w:rsidRPr="0000613E">
              <w:rPr>
                <w:szCs w:val="24"/>
              </w:rPr>
              <w:t>Community m</w:t>
            </w:r>
            <w:r w:rsidR="00973816" w:rsidRPr="0000613E">
              <w:rPr>
                <w:szCs w:val="24"/>
              </w:rPr>
              <w:t xml:space="preserve">ember </w:t>
            </w:r>
            <w:r w:rsidR="00F46F6E" w:rsidRPr="0000613E">
              <w:rPr>
                <w:szCs w:val="24"/>
              </w:rPr>
              <w:t>Mr. William Horst</w:t>
            </w:r>
            <w:r w:rsidR="00127047" w:rsidRPr="0000613E">
              <w:rPr>
                <w:szCs w:val="24"/>
              </w:rPr>
              <w:t xml:space="preserve"> </w:t>
            </w:r>
            <w:r w:rsidR="00CD317F">
              <w:rPr>
                <w:szCs w:val="24"/>
              </w:rPr>
              <w:t>was pre</w:t>
            </w:r>
            <w:r w:rsidR="00722EF2" w:rsidRPr="0000613E">
              <w:rPr>
                <w:szCs w:val="24"/>
              </w:rPr>
              <w:t xml:space="preserve">sent; </w:t>
            </w:r>
            <w:r w:rsidR="00BD3C3E" w:rsidRPr="0000613E">
              <w:rPr>
                <w:szCs w:val="24"/>
              </w:rPr>
              <w:t>University Council</w:t>
            </w:r>
            <w:r w:rsidR="00ED16DD" w:rsidRPr="0000613E">
              <w:rPr>
                <w:szCs w:val="24"/>
              </w:rPr>
              <w:t xml:space="preserve"> </w:t>
            </w:r>
            <w:r w:rsidR="00EB5C29" w:rsidRPr="0000613E">
              <w:rPr>
                <w:szCs w:val="24"/>
              </w:rPr>
              <w:t>R</w:t>
            </w:r>
            <w:r w:rsidR="00BD3C3E" w:rsidRPr="0000613E">
              <w:rPr>
                <w:szCs w:val="24"/>
              </w:rPr>
              <w:t>epresentative Dr</w:t>
            </w:r>
            <w:r w:rsidR="005F0C74" w:rsidRPr="0000613E">
              <w:rPr>
                <w:szCs w:val="24"/>
              </w:rPr>
              <w:t xml:space="preserve">. </w:t>
            </w:r>
            <w:r w:rsidR="00EB5C29" w:rsidRPr="0000613E">
              <w:rPr>
                <w:szCs w:val="24"/>
              </w:rPr>
              <w:t>Kristen Keith</w:t>
            </w:r>
            <w:r w:rsidR="00722EF2" w:rsidRPr="0000613E">
              <w:rPr>
                <w:szCs w:val="24"/>
              </w:rPr>
              <w:t xml:space="preserve"> was</w:t>
            </w:r>
            <w:r w:rsidR="00127047" w:rsidRPr="0000613E">
              <w:rPr>
                <w:szCs w:val="24"/>
              </w:rPr>
              <w:t xml:space="preserve"> </w:t>
            </w:r>
            <w:r w:rsidR="00CD317F">
              <w:rPr>
                <w:szCs w:val="24"/>
              </w:rPr>
              <w:t xml:space="preserve">also </w:t>
            </w:r>
            <w:r w:rsidR="00127047" w:rsidRPr="0000613E">
              <w:rPr>
                <w:szCs w:val="24"/>
              </w:rPr>
              <w:t>present</w:t>
            </w:r>
            <w:r w:rsidR="005F0C74" w:rsidRPr="0000613E">
              <w:rPr>
                <w:szCs w:val="24"/>
              </w:rPr>
              <w:t>.</w:t>
            </w:r>
            <w:r w:rsidR="00944DF0" w:rsidRPr="0000613E">
              <w:rPr>
                <w:szCs w:val="24"/>
              </w:rPr>
              <w:t xml:space="preserve"> </w:t>
            </w:r>
            <w:r w:rsidR="00F92DFB" w:rsidRPr="0000613E">
              <w:rPr>
                <w:szCs w:val="24"/>
              </w:rPr>
              <w:t>O</w:t>
            </w:r>
            <w:r w:rsidR="00FB4E2D" w:rsidRPr="0000613E">
              <w:rPr>
                <w:szCs w:val="24"/>
              </w:rPr>
              <w:t>thers attending the meeting were</w:t>
            </w:r>
            <w:r w:rsidR="00CB5DE6">
              <w:rPr>
                <w:szCs w:val="24"/>
              </w:rPr>
              <w:t xml:space="preserve"> </w:t>
            </w:r>
            <w:r w:rsidR="00EB5C29" w:rsidRPr="0000613E">
              <w:rPr>
                <w:szCs w:val="24"/>
              </w:rPr>
              <w:t xml:space="preserve">Mr. John Barrett, </w:t>
            </w:r>
            <w:r w:rsidR="00CB5DE6">
              <w:rPr>
                <w:szCs w:val="24"/>
              </w:rPr>
              <w:t xml:space="preserve">Mr. Thomas Biggs, Mr. Bill Blackie, </w:t>
            </w:r>
            <w:r w:rsidR="001D7DC1">
              <w:rPr>
                <w:szCs w:val="24"/>
              </w:rPr>
              <w:t xml:space="preserve">Mr. Gordon Chauvin, </w:t>
            </w:r>
            <w:r w:rsidR="00EB5C29" w:rsidRPr="0000613E">
              <w:rPr>
                <w:szCs w:val="24"/>
              </w:rPr>
              <w:t xml:space="preserve">Dr. Christopher Cooper, </w:t>
            </w:r>
            <w:r w:rsidR="00722EF2" w:rsidRPr="0000613E">
              <w:rPr>
                <w:szCs w:val="24"/>
              </w:rPr>
              <w:t xml:space="preserve">Dr. Cameron Cruickshank, </w:t>
            </w:r>
            <w:r w:rsidR="004A02CF" w:rsidRPr="0000613E">
              <w:rPr>
                <w:szCs w:val="24"/>
              </w:rPr>
              <w:t xml:space="preserve">Ms. Meghan Cunningham, </w:t>
            </w:r>
            <w:r w:rsidR="00FF3C91" w:rsidRPr="0000613E">
              <w:rPr>
                <w:szCs w:val="24"/>
              </w:rPr>
              <w:t xml:space="preserve">Mr. David Cutri, </w:t>
            </w:r>
            <w:r w:rsidR="00DF0389">
              <w:rPr>
                <w:szCs w:val="24"/>
              </w:rPr>
              <w:t xml:space="preserve">Mr. Bryan Dadey, Mr. Lew Gibbons, </w:t>
            </w:r>
            <w:r w:rsidR="00127047" w:rsidRPr="0000613E">
              <w:rPr>
                <w:szCs w:val="24"/>
              </w:rPr>
              <w:t>Mr. Ron</w:t>
            </w:r>
            <w:r w:rsidR="009A7063" w:rsidRPr="0000613E">
              <w:rPr>
                <w:szCs w:val="24"/>
              </w:rPr>
              <w:t>ald</w:t>
            </w:r>
            <w:r w:rsidR="00127047" w:rsidRPr="0000613E">
              <w:rPr>
                <w:szCs w:val="24"/>
              </w:rPr>
              <w:t xml:space="preserve"> Goedde, </w:t>
            </w:r>
            <w:r w:rsidR="00CB5DE6">
              <w:rPr>
                <w:szCs w:val="24"/>
              </w:rPr>
              <w:t xml:space="preserve">Ms. Brenda Lee, </w:t>
            </w:r>
            <w:r w:rsidR="004A02CF" w:rsidRPr="0000613E">
              <w:rPr>
                <w:szCs w:val="24"/>
              </w:rPr>
              <w:t>Mr. Chuck Lehnert</w:t>
            </w:r>
            <w:r w:rsidR="00F55C6E" w:rsidRPr="0000613E">
              <w:rPr>
                <w:szCs w:val="24"/>
              </w:rPr>
              <w:t xml:space="preserve">, </w:t>
            </w:r>
            <w:r w:rsidR="00CB5DE6">
              <w:rPr>
                <w:szCs w:val="24"/>
              </w:rPr>
              <w:t xml:space="preserve">Ms. Joyce McBride, Mr. William Messer, Jr., Ms. Diane Miller, </w:t>
            </w:r>
            <w:r w:rsidR="00722EF2" w:rsidRPr="0000613E">
              <w:rPr>
                <w:szCs w:val="24"/>
              </w:rPr>
              <w:t xml:space="preserve">Mr. David Morlock, </w:t>
            </w:r>
            <w:r w:rsidR="00EB5C29" w:rsidRPr="0000613E">
              <w:rPr>
                <w:szCs w:val="24"/>
              </w:rPr>
              <w:t xml:space="preserve">Dr. Nagi Naganathan, </w:t>
            </w:r>
            <w:r w:rsidR="00CB5DE6">
              <w:rPr>
                <w:szCs w:val="24"/>
              </w:rPr>
              <w:t xml:space="preserve">Mr. Peter Papadimos, </w:t>
            </w:r>
            <w:r w:rsidR="00722EF2" w:rsidRPr="0000613E">
              <w:rPr>
                <w:szCs w:val="24"/>
              </w:rPr>
              <w:t xml:space="preserve">Ms. Patricia Peterson, </w:t>
            </w:r>
            <w:r w:rsidR="00CB5DE6">
              <w:rPr>
                <w:szCs w:val="24"/>
              </w:rPr>
              <w:t xml:space="preserve">Dr. Penny Poplin-Gosetti, Dr. Linda Rouillard, </w:t>
            </w:r>
            <w:r w:rsidR="00722EF2" w:rsidRPr="0000613E">
              <w:rPr>
                <w:szCs w:val="24"/>
              </w:rPr>
              <w:t xml:space="preserve">Mr. Vern Snyder, </w:t>
            </w:r>
            <w:r w:rsidR="001D7DC1">
              <w:rPr>
                <w:szCs w:val="24"/>
              </w:rPr>
              <w:t xml:space="preserve">Mr. Matt Schroeder, </w:t>
            </w:r>
            <w:r w:rsidR="00DF0389">
              <w:rPr>
                <w:szCs w:val="24"/>
              </w:rPr>
              <w:t xml:space="preserve">Mr. Cody Spoon, </w:t>
            </w:r>
            <w:r w:rsidR="00EB5C29" w:rsidRPr="0000613E">
              <w:rPr>
                <w:szCs w:val="24"/>
              </w:rPr>
              <w:t>Ms</w:t>
            </w:r>
            <w:r w:rsidR="003776DA" w:rsidRPr="0000613E">
              <w:rPr>
                <w:szCs w:val="24"/>
              </w:rPr>
              <w:t xml:space="preserve">. </w:t>
            </w:r>
            <w:r w:rsidR="00973816" w:rsidRPr="0000613E">
              <w:rPr>
                <w:szCs w:val="24"/>
              </w:rPr>
              <w:t>Joan Stasa</w:t>
            </w:r>
            <w:r w:rsidR="004A02CF" w:rsidRPr="0000613E">
              <w:rPr>
                <w:szCs w:val="24"/>
              </w:rPr>
              <w:t xml:space="preserve">, </w:t>
            </w:r>
            <w:r w:rsidR="001D7DC1">
              <w:rPr>
                <w:szCs w:val="24"/>
              </w:rPr>
              <w:t>Mr. Jason Toth</w:t>
            </w:r>
            <w:r w:rsidR="00CB5DE6">
              <w:rPr>
                <w:szCs w:val="24"/>
              </w:rPr>
              <w:t>, Mr. Kevin West, and Ms. Rhonda Wingfield</w:t>
            </w:r>
            <w:r w:rsidR="001D7DC1">
              <w:rPr>
                <w:szCs w:val="24"/>
              </w:rPr>
              <w:t>.</w:t>
            </w:r>
          </w:p>
          <w:p w14:paraId="28853914" w14:textId="77777777" w:rsidR="001D7DC1" w:rsidRPr="0000613E" w:rsidRDefault="001D7DC1" w:rsidP="001D7DC1">
            <w:pPr>
              <w:rPr>
                <w:szCs w:val="24"/>
              </w:rPr>
            </w:pPr>
          </w:p>
        </w:tc>
        <w:tc>
          <w:tcPr>
            <w:tcW w:w="2340" w:type="dxa"/>
          </w:tcPr>
          <w:p w14:paraId="19EB7575" w14:textId="77777777" w:rsidR="00B81C40" w:rsidRPr="0000613E" w:rsidRDefault="00B81C40">
            <w:pPr>
              <w:pStyle w:val="Heading1"/>
              <w:rPr>
                <w:rFonts w:ascii="Times New Roman" w:hAnsi="Times New Roman"/>
                <w:smallCaps/>
                <w:sz w:val="24"/>
                <w:szCs w:val="24"/>
              </w:rPr>
            </w:pPr>
            <w:r w:rsidRPr="0000613E">
              <w:rPr>
                <w:rFonts w:ascii="Times New Roman" w:hAnsi="Times New Roman"/>
                <w:smallCaps/>
                <w:sz w:val="24"/>
                <w:szCs w:val="24"/>
              </w:rPr>
              <w:t>ATTENDANCE</w:t>
            </w:r>
          </w:p>
        </w:tc>
      </w:tr>
      <w:tr w:rsidR="00617B70" w:rsidRPr="0000613E" w14:paraId="3EBB3BA7" w14:textId="77777777" w:rsidTr="00EC7A4F">
        <w:trPr>
          <w:trHeight w:val="720"/>
        </w:trPr>
        <w:tc>
          <w:tcPr>
            <w:tcW w:w="7830" w:type="dxa"/>
          </w:tcPr>
          <w:p w14:paraId="6C57F90B" w14:textId="3EE3E852" w:rsidR="00442BA1" w:rsidRDefault="00617B70" w:rsidP="00D81883">
            <w:pPr>
              <w:pStyle w:val="Heading2"/>
              <w:rPr>
                <w:szCs w:val="24"/>
                <w:u w:val="none"/>
              </w:rPr>
            </w:pPr>
            <w:r w:rsidRPr="0000613E">
              <w:rPr>
                <w:szCs w:val="24"/>
                <w:u w:val="none"/>
              </w:rPr>
              <w:t xml:space="preserve">The </w:t>
            </w:r>
            <w:r w:rsidR="00C753E9" w:rsidRPr="0000613E">
              <w:rPr>
                <w:szCs w:val="24"/>
                <w:u w:val="none"/>
              </w:rPr>
              <w:t xml:space="preserve">meeting was called to order at </w:t>
            </w:r>
            <w:r w:rsidR="0074216F">
              <w:rPr>
                <w:szCs w:val="24"/>
                <w:u w:val="none"/>
              </w:rPr>
              <w:t>3:35 p</w:t>
            </w:r>
            <w:r w:rsidR="007C5BA9" w:rsidRPr="0000613E">
              <w:rPr>
                <w:szCs w:val="24"/>
                <w:u w:val="none"/>
              </w:rPr>
              <w:t>.m.</w:t>
            </w:r>
            <w:r w:rsidRPr="0000613E">
              <w:rPr>
                <w:szCs w:val="24"/>
                <w:u w:val="none"/>
              </w:rPr>
              <w:t xml:space="preserve"> by </w:t>
            </w:r>
            <w:r w:rsidR="00BD3C3E" w:rsidRPr="0000613E">
              <w:rPr>
                <w:szCs w:val="24"/>
                <w:u w:val="none"/>
              </w:rPr>
              <w:t>Trustee Szuch</w:t>
            </w:r>
            <w:r w:rsidRPr="0000613E">
              <w:rPr>
                <w:szCs w:val="24"/>
                <w:u w:val="none"/>
              </w:rPr>
              <w:t xml:space="preserve"> in </w:t>
            </w:r>
            <w:r w:rsidR="00692916" w:rsidRPr="0000613E">
              <w:rPr>
                <w:szCs w:val="24"/>
                <w:u w:val="none"/>
              </w:rPr>
              <w:t>the</w:t>
            </w:r>
            <w:r w:rsidR="00973816" w:rsidRPr="0000613E">
              <w:rPr>
                <w:szCs w:val="24"/>
                <w:u w:val="none"/>
              </w:rPr>
              <w:t xml:space="preserve"> </w:t>
            </w:r>
            <w:r w:rsidR="00D81883" w:rsidRPr="0000613E">
              <w:rPr>
                <w:szCs w:val="24"/>
                <w:u w:val="none"/>
              </w:rPr>
              <w:t xml:space="preserve">Driscoll Alumni Center </w:t>
            </w:r>
            <w:r w:rsidR="00CD317F">
              <w:rPr>
                <w:szCs w:val="24"/>
                <w:u w:val="none"/>
              </w:rPr>
              <w:t>Board</w:t>
            </w:r>
            <w:r w:rsidR="00833625" w:rsidRPr="0000613E">
              <w:rPr>
                <w:szCs w:val="24"/>
                <w:u w:val="none"/>
              </w:rPr>
              <w:t xml:space="preserve"> </w:t>
            </w:r>
            <w:r w:rsidR="00D81883" w:rsidRPr="0000613E">
              <w:rPr>
                <w:szCs w:val="24"/>
                <w:u w:val="none"/>
              </w:rPr>
              <w:t>room</w:t>
            </w:r>
            <w:r w:rsidR="007C5BA9" w:rsidRPr="0000613E">
              <w:rPr>
                <w:szCs w:val="24"/>
                <w:u w:val="none"/>
              </w:rPr>
              <w:t>.</w:t>
            </w:r>
            <w:r w:rsidR="001E14A2" w:rsidRPr="0000613E">
              <w:rPr>
                <w:szCs w:val="24"/>
                <w:u w:val="none"/>
              </w:rPr>
              <w:t xml:space="preserve">  </w:t>
            </w:r>
          </w:p>
          <w:p w14:paraId="05FA076C" w14:textId="77777777" w:rsidR="00BC441C" w:rsidRPr="00BC441C" w:rsidRDefault="00BC441C" w:rsidP="00BC441C"/>
        </w:tc>
        <w:tc>
          <w:tcPr>
            <w:tcW w:w="2340" w:type="dxa"/>
          </w:tcPr>
          <w:p w14:paraId="63FB676A" w14:textId="77777777" w:rsidR="00617B70" w:rsidRPr="0000613E" w:rsidRDefault="00A27483" w:rsidP="009E4C98">
            <w:pPr>
              <w:pStyle w:val="Heading2"/>
              <w:rPr>
                <w:b/>
                <w:smallCaps/>
                <w:szCs w:val="24"/>
                <w:u w:val="none"/>
              </w:rPr>
            </w:pPr>
            <w:r w:rsidRPr="0000613E">
              <w:rPr>
                <w:b/>
                <w:smallCaps/>
                <w:szCs w:val="24"/>
                <w:u w:val="none"/>
              </w:rPr>
              <w:t xml:space="preserve">CALL TO </w:t>
            </w:r>
            <w:r w:rsidR="00617B70" w:rsidRPr="0000613E">
              <w:rPr>
                <w:b/>
                <w:smallCaps/>
                <w:szCs w:val="24"/>
                <w:u w:val="none"/>
              </w:rPr>
              <w:t>ORDER</w:t>
            </w:r>
          </w:p>
        </w:tc>
      </w:tr>
      <w:tr w:rsidR="00B81C40" w:rsidRPr="0000613E" w14:paraId="2386ECDF" w14:textId="77777777" w:rsidTr="007512BD">
        <w:trPr>
          <w:trHeight w:val="1476"/>
        </w:trPr>
        <w:tc>
          <w:tcPr>
            <w:tcW w:w="7830" w:type="dxa"/>
          </w:tcPr>
          <w:p w14:paraId="2FEC4FF5" w14:textId="4DBF57C9" w:rsidR="009A4E08" w:rsidRDefault="00BD3C3E" w:rsidP="00D81883">
            <w:pPr>
              <w:rPr>
                <w:szCs w:val="24"/>
              </w:rPr>
            </w:pPr>
            <w:r w:rsidRPr="0000613E">
              <w:rPr>
                <w:szCs w:val="24"/>
              </w:rPr>
              <w:t>Mr. Szuch</w:t>
            </w:r>
            <w:r w:rsidR="00BF3151" w:rsidRPr="0000613E">
              <w:rPr>
                <w:szCs w:val="24"/>
              </w:rPr>
              <w:t xml:space="preserve"> requested a motion to </w:t>
            </w:r>
            <w:r w:rsidR="00920DEC" w:rsidRPr="0000613E">
              <w:rPr>
                <w:szCs w:val="24"/>
              </w:rPr>
              <w:t>waive the reading of the minutes f</w:t>
            </w:r>
            <w:r w:rsidR="00C753E9" w:rsidRPr="0000613E">
              <w:rPr>
                <w:szCs w:val="24"/>
              </w:rPr>
              <w:t xml:space="preserve">rom the </w:t>
            </w:r>
            <w:r w:rsidR="0074216F">
              <w:rPr>
                <w:szCs w:val="24"/>
              </w:rPr>
              <w:t xml:space="preserve">March 12, 2015 </w:t>
            </w:r>
            <w:r w:rsidR="004E4491" w:rsidRPr="0000613E">
              <w:rPr>
                <w:szCs w:val="24"/>
              </w:rPr>
              <w:t xml:space="preserve">Finance </w:t>
            </w:r>
            <w:r w:rsidR="00D80D6A" w:rsidRPr="0000613E">
              <w:rPr>
                <w:szCs w:val="24"/>
              </w:rPr>
              <w:t xml:space="preserve">and Audit </w:t>
            </w:r>
            <w:r w:rsidR="00BF3151" w:rsidRPr="0000613E">
              <w:rPr>
                <w:szCs w:val="24"/>
              </w:rPr>
              <w:t xml:space="preserve">Committee meeting and accept them as written.  </w:t>
            </w:r>
            <w:r w:rsidR="00617B70" w:rsidRPr="0000613E">
              <w:rPr>
                <w:szCs w:val="24"/>
              </w:rPr>
              <w:t xml:space="preserve">The motion </w:t>
            </w:r>
            <w:r w:rsidR="000622A1" w:rsidRPr="0000613E">
              <w:rPr>
                <w:szCs w:val="24"/>
              </w:rPr>
              <w:t xml:space="preserve">was </w:t>
            </w:r>
            <w:r w:rsidR="00617B70" w:rsidRPr="0000613E">
              <w:rPr>
                <w:szCs w:val="24"/>
              </w:rPr>
              <w:t>received</w:t>
            </w:r>
            <w:r w:rsidR="00AB4E1E" w:rsidRPr="0000613E">
              <w:rPr>
                <w:szCs w:val="24"/>
              </w:rPr>
              <w:t xml:space="preserve"> by Trustee </w:t>
            </w:r>
            <w:r w:rsidR="00A64748" w:rsidRPr="0000613E">
              <w:rPr>
                <w:szCs w:val="24"/>
              </w:rPr>
              <w:t>Ca</w:t>
            </w:r>
            <w:r w:rsidR="002869B7" w:rsidRPr="0000613E">
              <w:rPr>
                <w:szCs w:val="24"/>
              </w:rPr>
              <w:t>vanaugh,</w:t>
            </w:r>
            <w:r w:rsidR="00AB4E1E" w:rsidRPr="0000613E">
              <w:rPr>
                <w:szCs w:val="24"/>
              </w:rPr>
              <w:t xml:space="preserve"> </w:t>
            </w:r>
            <w:r w:rsidR="00617B70" w:rsidRPr="0000613E">
              <w:rPr>
                <w:szCs w:val="24"/>
              </w:rPr>
              <w:t>seconded</w:t>
            </w:r>
            <w:r w:rsidR="00973816" w:rsidRPr="0000613E">
              <w:rPr>
                <w:szCs w:val="24"/>
              </w:rPr>
              <w:t xml:space="preserve"> </w:t>
            </w:r>
            <w:r w:rsidR="00A22AAF" w:rsidRPr="0000613E">
              <w:rPr>
                <w:szCs w:val="24"/>
              </w:rPr>
              <w:t>by Trustee</w:t>
            </w:r>
            <w:r w:rsidR="00847A0B" w:rsidRPr="0000613E">
              <w:rPr>
                <w:szCs w:val="24"/>
              </w:rPr>
              <w:t xml:space="preserve"> </w:t>
            </w:r>
            <w:r w:rsidR="0074216F">
              <w:rPr>
                <w:szCs w:val="24"/>
              </w:rPr>
              <w:t>Cole</w:t>
            </w:r>
            <w:r w:rsidR="00941E50" w:rsidRPr="0000613E">
              <w:rPr>
                <w:szCs w:val="24"/>
              </w:rPr>
              <w:t xml:space="preserve"> </w:t>
            </w:r>
            <w:r w:rsidR="00A22AAF" w:rsidRPr="0000613E">
              <w:rPr>
                <w:szCs w:val="24"/>
              </w:rPr>
              <w:t xml:space="preserve">and </w:t>
            </w:r>
            <w:r w:rsidR="00617B70" w:rsidRPr="0000613E">
              <w:rPr>
                <w:szCs w:val="24"/>
              </w:rPr>
              <w:t>approved by the Committee.</w:t>
            </w:r>
            <w:r w:rsidR="0056370D" w:rsidRPr="0000613E">
              <w:rPr>
                <w:szCs w:val="24"/>
              </w:rPr>
              <w:t xml:space="preserve">  </w:t>
            </w:r>
          </w:p>
          <w:p w14:paraId="17C43F20" w14:textId="77777777" w:rsidR="00BC441C" w:rsidRPr="0000613E" w:rsidRDefault="00BC441C" w:rsidP="00D81883">
            <w:pPr>
              <w:rPr>
                <w:szCs w:val="24"/>
              </w:rPr>
            </w:pPr>
          </w:p>
        </w:tc>
        <w:tc>
          <w:tcPr>
            <w:tcW w:w="2340" w:type="dxa"/>
          </w:tcPr>
          <w:p w14:paraId="5EB66F49" w14:textId="77777777" w:rsidR="00B81C40" w:rsidRPr="0000613E" w:rsidRDefault="00B81C40">
            <w:pPr>
              <w:rPr>
                <w:b/>
                <w:smallCaps/>
                <w:szCs w:val="24"/>
              </w:rPr>
            </w:pPr>
            <w:r w:rsidRPr="0000613E">
              <w:rPr>
                <w:b/>
                <w:smallCaps/>
                <w:szCs w:val="24"/>
              </w:rPr>
              <w:t>APPROVAL OF MINUTES</w:t>
            </w:r>
          </w:p>
          <w:p w14:paraId="17D83A5C" w14:textId="77777777" w:rsidR="00BB5AEA" w:rsidRPr="0000613E" w:rsidRDefault="00BB5AEA">
            <w:pPr>
              <w:rPr>
                <w:b/>
                <w:smallCaps/>
                <w:szCs w:val="24"/>
              </w:rPr>
            </w:pPr>
          </w:p>
          <w:p w14:paraId="5D43920B" w14:textId="77777777" w:rsidR="00BB5AEA" w:rsidRPr="0000613E" w:rsidRDefault="00BB5AEA">
            <w:pPr>
              <w:rPr>
                <w:b/>
                <w:smallCaps/>
                <w:szCs w:val="24"/>
              </w:rPr>
            </w:pPr>
          </w:p>
          <w:p w14:paraId="044699CC" w14:textId="77777777" w:rsidR="00BB5AEA" w:rsidRPr="0000613E" w:rsidRDefault="00BB5AEA" w:rsidP="0063751C">
            <w:pPr>
              <w:rPr>
                <w:szCs w:val="24"/>
              </w:rPr>
            </w:pPr>
          </w:p>
        </w:tc>
      </w:tr>
      <w:tr w:rsidR="001C5C8A" w:rsidRPr="0000613E" w14:paraId="73263F0A" w14:textId="77777777" w:rsidTr="00AF3B67">
        <w:trPr>
          <w:trHeight w:val="180"/>
        </w:trPr>
        <w:tc>
          <w:tcPr>
            <w:tcW w:w="7830" w:type="dxa"/>
          </w:tcPr>
          <w:p w14:paraId="5780F76A" w14:textId="77777777" w:rsidR="00E305E2" w:rsidRDefault="00725A1D" w:rsidP="000D064B">
            <w:pPr>
              <w:pStyle w:val="EndnoteText"/>
              <w:widowControl/>
              <w:rPr>
                <w:rFonts w:ascii="Times New Roman" w:hAnsi="Times New Roman"/>
                <w:snapToGrid/>
                <w:szCs w:val="24"/>
              </w:rPr>
            </w:pPr>
            <w:r>
              <w:rPr>
                <w:szCs w:val="24"/>
              </w:rPr>
              <w:t xml:space="preserve">Mr. Vern Snyder, VP Institutional Advancement, presented a </w:t>
            </w:r>
            <w:r w:rsidR="00353B98">
              <w:rPr>
                <w:szCs w:val="24"/>
              </w:rPr>
              <w:t xml:space="preserve">non-gift </w:t>
            </w:r>
            <w:r>
              <w:rPr>
                <w:szCs w:val="24"/>
              </w:rPr>
              <w:t xml:space="preserve">naming opportunity for the UT Urban Affairs Center. </w:t>
            </w:r>
            <w:r>
              <w:rPr>
                <w:rFonts w:ascii="Times New Roman" w:hAnsi="Times New Roman"/>
                <w:snapToGrid/>
                <w:szCs w:val="24"/>
              </w:rPr>
              <w:t xml:space="preserve">The recommended </w:t>
            </w:r>
            <w:r w:rsidR="00061446">
              <w:rPr>
                <w:rFonts w:ascii="Times New Roman" w:hAnsi="Times New Roman"/>
                <w:snapToGrid/>
                <w:szCs w:val="24"/>
              </w:rPr>
              <w:t xml:space="preserve">new name for the Center </w:t>
            </w:r>
            <w:r>
              <w:rPr>
                <w:rFonts w:ascii="Times New Roman" w:hAnsi="Times New Roman"/>
                <w:snapToGrid/>
                <w:szCs w:val="24"/>
              </w:rPr>
              <w:t>would be the Jack Ford Urban Affairs Center</w:t>
            </w:r>
            <w:r w:rsidR="00423E33">
              <w:rPr>
                <w:rFonts w:ascii="Times New Roman" w:hAnsi="Times New Roman"/>
                <w:snapToGrid/>
                <w:szCs w:val="24"/>
              </w:rPr>
              <w:t>, named after John Marshall Ford</w:t>
            </w:r>
            <w:r w:rsidR="000D064B">
              <w:rPr>
                <w:rFonts w:ascii="Times New Roman" w:hAnsi="Times New Roman"/>
                <w:snapToGrid/>
                <w:szCs w:val="24"/>
              </w:rPr>
              <w:t>.  Mr. Snyder sta</w:t>
            </w:r>
            <w:r>
              <w:rPr>
                <w:rFonts w:ascii="Times New Roman" w:hAnsi="Times New Roman"/>
                <w:snapToGrid/>
                <w:szCs w:val="24"/>
              </w:rPr>
              <w:t>ted that Mr. Ford recently passed away and pr</w:t>
            </w:r>
            <w:r w:rsidR="00423E33">
              <w:rPr>
                <w:rFonts w:ascii="Times New Roman" w:hAnsi="Times New Roman"/>
                <w:snapToGrid/>
                <w:szCs w:val="24"/>
              </w:rPr>
              <w:t>ovided many years of service as Toledo City Council President, as</w:t>
            </w:r>
            <w:r>
              <w:rPr>
                <w:rFonts w:ascii="Times New Roman" w:hAnsi="Times New Roman"/>
                <w:snapToGrid/>
                <w:szCs w:val="24"/>
              </w:rPr>
              <w:t xml:space="preserve"> Mayor of the City of Toledo</w:t>
            </w:r>
            <w:r w:rsidR="000D064B">
              <w:rPr>
                <w:rFonts w:ascii="Times New Roman" w:hAnsi="Times New Roman"/>
                <w:snapToGrid/>
                <w:szCs w:val="24"/>
              </w:rPr>
              <w:t xml:space="preserve"> </w:t>
            </w:r>
            <w:r w:rsidR="00423E33">
              <w:rPr>
                <w:rFonts w:ascii="Times New Roman" w:hAnsi="Times New Roman"/>
                <w:snapToGrid/>
                <w:szCs w:val="24"/>
              </w:rPr>
              <w:t>2002-2006, and as a former member of the Ohio House of Representatives</w:t>
            </w:r>
            <w:r>
              <w:rPr>
                <w:rFonts w:ascii="Times New Roman" w:hAnsi="Times New Roman"/>
                <w:snapToGrid/>
                <w:szCs w:val="24"/>
              </w:rPr>
              <w:t xml:space="preserve">.  Mr. Ford spent most of his working life as an educator, teaching </w:t>
            </w:r>
            <w:r w:rsidR="00353B98">
              <w:rPr>
                <w:rFonts w:ascii="Times New Roman" w:hAnsi="Times New Roman"/>
                <w:snapToGrid/>
                <w:szCs w:val="24"/>
              </w:rPr>
              <w:t>at UT for 22 years;</w:t>
            </w:r>
            <w:r w:rsidR="000D064B">
              <w:rPr>
                <w:rFonts w:ascii="Times New Roman" w:hAnsi="Times New Roman"/>
                <w:snapToGrid/>
                <w:szCs w:val="24"/>
              </w:rPr>
              <w:t xml:space="preserve"> also teaching at Bowling Green State University</w:t>
            </w:r>
            <w:r>
              <w:rPr>
                <w:rFonts w:ascii="Times New Roman" w:hAnsi="Times New Roman"/>
                <w:snapToGrid/>
                <w:szCs w:val="24"/>
              </w:rPr>
              <w:t xml:space="preserve"> and O</w:t>
            </w:r>
            <w:r w:rsidR="000D064B">
              <w:rPr>
                <w:rFonts w:ascii="Times New Roman" w:hAnsi="Times New Roman"/>
                <w:snapToGrid/>
                <w:szCs w:val="24"/>
              </w:rPr>
              <w:t xml:space="preserve">wens </w:t>
            </w:r>
            <w:r>
              <w:rPr>
                <w:rFonts w:ascii="Times New Roman" w:hAnsi="Times New Roman"/>
                <w:snapToGrid/>
                <w:szCs w:val="24"/>
              </w:rPr>
              <w:t>C</w:t>
            </w:r>
            <w:r w:rsidR="000D064B">
              <w:rPr>
                <w:rFonts w:ascii="Times New Roman" w:hAnsi="Times New Roman"/>
                <w:snapToGrid/>
                <w:szCs w:val="24"/>
              </w:rPr>
              <w:t xml:space="preserve">ommunity </w:t>
            </w:r>
            <w:r>
              <w:rPr>
                <w:rFonts w:ascii="Times New Roman" w:hAnsi="Times New Roman"/>
                <w:snapToGrid/>
                <w:szCs w:val="24"/>
              </w:rPr>
              <w:t>C</w:t>
            </w:r>
            <w:r w:rsidR="000D064B">
              <w:rPr>
                <w:rFonts w:ascii="Times New Roman" w:hAnsi="Times New Roman"/>
                <w:snapToGrid/>
                <w:szCs w:val="24"/>
              </w:rPr>
              <w:t>ollege</w:t>
            </w:r>
            <w:r>
              <w:rPr>
                <w:rFonts w:ascii="Times New Roman" w:hAnsi="Times New Roman"/>
                <w:snapToGrid/>
                <w:szCs w:val="24"/>
              </w:rPr>
              <w:t xml:space="preserve">.  </w:t>
            </w:r>
            <w:r w:rsidR="00061446">
              <w:rPr>
                <w:rFonts w:ascii="Times New Roman" w:hAnsi="Times New Roman"/>
                <w:snapToGrid/>
                <w:szCs w:val="24"/>
              </w:rPr>
              <w:t xml:space="preserve">He received both his law degree and a master’s in public administration from UT.  </w:t>
            </w:r>
            <w:r w:rsidR="00435900">
              <w:rPr>
                <w:rFonts w:ascii="Times New Roman" w:hAnsi="Times New Roman"/>
                <w:snapToGrid/>
                <w:szCs w:val="24"/>
              </w:rPr>
              <w:t xml:space="preserve">Mr. Ford’s bio was distributed to the Committee indicating additional accomplishments and public service.  </w:t>
            </w:r>
            <w:r w:rsidR="00423E33">
              <w:rPr>
                <w:rFonts w:ascii="Times New Roman" w:hAnsi="Times New Roman"/>
                <w:snapToGrid/>
                <w:szCs w:val="24"/>
              </w:rPr>
              <w:t xml:space="preserve">Mr. Snyder stated </w:t>
            </w:r>
            <w:r w:rsidR="00CA2FD4">
              <w:rPr>
                <w:rFonts w:ascii="Times New Roman" w:hAnsi="Times New Roman"/>
                <w:snapToGrid/>
                <w:szCs w:val="24"/>
              </w:rPr>
              <w:t xml:space="preserve">that he is working in consultation with </w:t>
            </w:r>
            <w:r w:rsidR="00423E33">
              <w:rPr>
                <w:rFonts w:ascii="Times New Roman" w:hAnsi="Times New Roman"/>
                <w:snapToGrid/>
                <w:szCs w:val="24"/>
              </w:rPr>
              <w:t>the Advisory Board of the UT Urban Affairs Center and with members of the Northwest Ohio de</w:t>
            </w:r>
            <w:r w:rsidR="00CA2FD4">
              <w:rPr>
                <w:rFonts w:ascii="Times New Roman" w:hAnsi="Times New Roman"/>
                <w:snapToGrid/>
                <w:szCs w:val="24"/>
              </w:rPr>
              <w:t xml:space="preserve">legation </w:t>
            </w:r>
            <w:r w:rsidR="00423E33">
              <w:rPr>
                <w:rFonts w:ascii="Times New Roman" w:hAnsi="Times New Roman"/>
                <w:snapToGrid/>
                <w:szCs w:val="24"/>
              </w:rPr>
              <w:t>to</w:t>
            </w:r>
            <w:r w:rsidR="00CA2FD4">
              <w:rPr>
                <w:rFonts w:ascii="Times New Roman" w:hAnsi="Times New Roman"/>
                <w:snapToGrid/>
                <w:szCs w:val="24"/>
              </w:rPr>
              <w:t xml:space="preserve"> the </w:t>
            </w:r>
            <w:r w:rsidR="00423E33">
              <w:rPr>
                <w:rFonts w:ascii="Times New Roman" w:hAnsi="Times New Roman"/>
                <w:snapToGrid/>
                <w:szCs w:val="24"/>
              </w:rPr>
              <w:t xml:space="preserve">Ohio </w:t>
            </w:r>
            <w:r w:rsidR="00353B98">
              <w:rPr>
                <w:rFonts w:ascii="Times New Roman" w:hAnsi="Times New Roman"/>
                <w:snapToGrid/>
                <w:szCs w:val="24"/>
              </w:rPr>
              <w:t>Stateh</w:t>
            </w:r>
            <w:r w:rsidR="00CA2FD4">
              <w:rPr>
                <w:rFonts w:ascii="Times New Roman" w:hAnsi="Times New Roman"/>
                <w:snapToGrid/>
                <w:szCs w:val="24"/>
              </w:rPr>
              <w:t>ouse on this</w:t>
            </w:r>
            <w:r w:rsidR="00353B98">
              <w:rPr>
                <w:rFonts w:ascii="Times New Roman" w:hAnsi="Times New Roman"/>
                <w:snapToGrid/>
                <w:szCs w:val="24"/>
              </w:rPr>
              <w:t xml:space="preserve"> </w:t>
            </w:r>
            <w:r w:rsidR="00CA2FD4">
              <w:rPr>
                <w:rFonts w:ascii="Times New Roman" w:hAnsi="Times New Roman"/>
                <w:snapToGrid/>
                <w:szCs w:val="24"/>
              </w:rPr>
              <w:t>naming</w:t>
            </w:r>
            <w:r w:rsidR="00423E33">
              <w:rPr>
                <w:rFonts w:ascii="Times New Roman" w:hAnsi="Times New Roman"/>
                <w:snapToGrid/>
                <w:szCs w:val="24"/>
              </w:rPr>
              <w:t xml:space="preserve"> recognition for Mr. Ford</w:t>
            </w:r>
            <w:r w:rsidR="00CA2FD4">
              <w:rPr>
                <w:rFonts w:ascii="Times New Roman" w:hAnsi="Times New Roman"/>
                <w:snapToGrid/>
                <w:szCs w:val="24"/>
              </w:rPr>
              <w:t xml:space="preserve">.  </w:t>
            </w:r>
            <w:r>
              <w:rPr>
                <w:rFonts w:ascii="Times New Roman" w:hAnsi="Times New Roman"/>
                <w:snapToGrid/>
                <w:szCs w:val="24"/>
              </w:rPr>
              <w:t>Mr. Szuch requested a motion for ap</w:t>
            </w:r>
            <w:r w:rsidR="000D064B">
              <w:rPr>
                <w:rFonts w:ascii="Times New Roman" w:hAnsi="Times New Roman"/>
                <w:snapToGrid/>
                <w:szCs w:val="24"/>
              </w:rPr>
              <w:t>proval and to forward the</w:t>
            </w:r>
            <w:r>
              <w:rPr>
                <w:rFonts w:ascii="Times New Roman" w:hAnsi="Times New Roman"/>
                <w:snapToGrid/>
                <w:szCs w:val="24"/>
              </w:rPr>
              <w:t xml:space="preserve"> request to the Consent Agenda at the Board meeting scheduled later in the day.  A mo</w:t>
            </w:r>
            <w:r w:rsidR="00D4347E">
              <w:rPr>
                <w:rFonts w:ascii="Times New Roman" w:hAnsi="Times New Roman"/>
                <w:snapToGrid/>
                <w:szCs w:val="24"/>
              </w:rPr>
              <w:t xml:space="preserve">tion </w:t>
            </w:r>
            <w:r>
              <w:rPr>
                <w:rFonts w:ascii="Times New Roman" w:hAnsi="Times New Roman"/>
                <w:snapToGrid/>
                <w:szCs w:val="24"/>
              </w:rPr>
              <w:t xml:space="preserve">was received by Trustee Cole, seconded by Trustee Cavanaugh and approved by the Committee.   </w:t>
            </w:r>
          </w:p>
          <w:p w14:paraId="691DD7F8" w14:textId="1290C923" w:rsidR="00435900" w:rsidRPr="0000613E" w:rsidRDefault="00435900" w:rsidP="000D064B">
            <w:pPr>
              <w:pStyle w:val="EndnoteText"/>
              <w:widowControl/>
              <w:rPr>
                <w:szCs w:val="24"/>
              </w:rPr>
            </w:pPr>
          </w:p>
        </w:tc>
        <w:tc>
          <w:tcPr>
            <w:tcW w:w="2340" w:type="dxa"/>
          </w:tcPr>
          <w:p w14:paraId="38F32201" w14:textId="6A758E5B" w:rsidR="001C5C8A" w:rsidRDefault="0074216F" w:rsidP="00AF3B67">
            <w:pPr>
              <w:rPr>
                <w:b/>
                <w:szCs w:val="24"/>
              </w:rPr>
            </w:pPr>
            <w:r>
              <w:rPr>
                <w:b/>
                <w:szCs w:val="24"/>
              </w:rPr>
              <w:t>NAMING OPPORTUNITY</w:t>
            </w:r>
          </w:p>
          <w:p w14:paraId="626C6331" w14:textId="4B1C2A55" w:rsidR="005248C5" w:rsidRPr="0000613E" w:rsidRDefault="005248C5" w:rsidP="00AF3B67">
            <w:pPr>
              <w:rPr>
                <w:b/>
                <w:szCs w:val="24"/>
              </w:rPr>
            </w:pPr>
          </w:p>
        </w:tc>
      </w:tr>
      <w:tr w:rsidR="0074216F" w:rsidRPr="0000613E" w14:paraId="6BBA9B57" w14:textId="77777777" w:rsidTr="00AF3B67">
        <w:trPr>
          <w:trHeight w:val="180"/>
        </w:trPr>
        <w:tc>
          <w:tcPr>
            <w:tcW w:w="7830" w:type="dxa"/>
          </w:tcPr>
          <w:p w14:paraId="395C1A58" w14:textId="4E745B6D" w:rsidR="0074216F" w:rsidRDefault="009B0C94" w:rsidP="00FA02C4">
            <w:pPr>
              <w:rPr>
                <w:szCs w:val="24"/>
              </w:rPr>
            </w:pPr>
            <w:r>
              <w:rPr>
                <w:szCs w:val="24"/>
              </w:rPr>
              <w:t xml:space="preserve">Mr. Bryan Dadey, Associate VP </w:t>
            </w:r>
            <w:r w:rsidR="00423E33">
              <w:rPr>
                <w:szCs w:val="24"/>
              </w:rPr>
              <w:t xml:space="preserve">of </w:t>
            </w:r>
            <w:r>
              <w:rPr>
                <w:szCs w:val="24"/>
              </w:rPr>
              <w:t>Finance, presented Resolution No. 15-05-04:  “</w:t>
            </w:r>
            <w:r w:rsidR="00C31D53">
              <w:rPr>
                <w:szCs w:val="24"/>
              </w:rPr>
              <w:t xml:space="preserve">Competitive Procurement Authority and Approval.”  </w:t>
            </w:r>
            <w:r w:rsidR="00CF6B01">
              <w:rPr>
                <w:szCs w:val="24"/>
              </w:rPr>
              <w:t xml:space="preserve">Mr. Dadey reported </w:t>
            </w:r>
            <w:r w:rsidR="00423E33">
              <w:rPr>
                <w:szCs w:val="24"/>
              </w:rPr>
              <w:t>that the Resolution was revis</w:t>
            </w:r>
            <w:r w:rsidR="00CF6B01">
              <w:rPr>
                <w:szCs w:val="24"/>
              </w:rPr>
              <w:t>ed for the following reasons:</w:t>
            </w:r>
          </w:p>
          <w:p w14:paraId="2CABEFD4" w14:textId="77777777" w:rsidR="00CF6B01" w:rsidRDefault="00CF6B01" w:rsidP="00423E33">
            <w:pPr>
              <w:numPr>
                <w:ilvl w:val="0"/>
                <w:numId w:val="23"/>
              </w:numPr>
              <w:ind w:left="342" w:hanging="288"/>
              <w:rPr>
                <w:szCs w:val="24"/>
              </w:rPr>
            </w:pPr>
            <w:r>
              <w:rPr>
                <w:szCs w:val="24"/>
              </w:rPr>
              <w:lastRenderedPageBreak/>
              <w:t xml:space="preserve">Alignment of Language – Competitive bid event (applies to both goods and services – no change to dollar thresholds).  </w:t>
            </w:r>
            <w:r w:rsidR="00717709">
              <w:rPr>
                <w:szCs w:val="24"/>
              </w:rPr>
              <w:t xml:space="preserve">The current policy competitive bid event is based on the vendor’s annual spend and the suggested change for the competitive bid would be based on the vendor’s single order or single transaction.  </w:t>
            </w:r>
          </w:p>
          <w:p w14:paraId="330ECE85" w14:textId="580B7B1A" w:rsidR="00717709" w:rsidRDefault="00061446" w:rsidP="00423E33">
            <w:pPr>
              <w:numPr>
                <w:ilvl w:val="0"/>
                <w:numId w:val="23"/>
              </w:numPr>
              <w:ind w:left="342" w:hanging="288"/>
              <w:rPr>
                <w:szCs w:val="24"/>
              </w:rPr>
            </w:pPr>
            <w:r>
              <w:rPr>
                <w:szCs w:val="24"/>
              </w:rPr>
              <w:t>Utilization of</w:t>
            </w:r>
            <w:r w:rsidR="00717709">
              <w:rPr>
                <w:szCs w:val="24"/>
              </w:rPr>
              <w:t xml:space="preserve"> the State of Ohio Competitive Bid Results - This proposed change would allow UT to utilize State of Ohio negotiated agreements that are attractive to UT where the current policy is silent.</w:t>
            </w:r>
          </w:p>
          <w:p w14:paraId="78AC2775" w14:textId="77777777" w:rsidR="00717709" w:rsidRDefault="00717709" w:rsidP="00423E33">
            <w:pPr>
              <w:numPr>
                <w:ilvl w:val="0"/>
                <w:numId w:val="23"/>
              </w:numPr>
              <w:ind w:left="342" w:hanging="288"/>
              <w:rPr>
                <w:szCs w:val="24"/>
              </w:rPr>
            </w:pPr>
            <w:r>
              <w:rPr>
                <w:szCs w:val="24"/>
              </w:rPr>
              <w:t>Additional Bid Waiver – This proposed change would allow UT to waive competitive bid processing for short-term engagements with vendors that have an expertise (technical, specialized, professional and consulting expertise).</w:t>
            </w:r>
          </w:p>
          <w:p w14:paraId="4A42DB13" w14:textId="716E87F0" w:rsidR="00423E33" w:rsidRDefault="00423E33" w:rsidP="00423E33">
            <w:pPr>
              <w:rPr>
                <w:szCs w:val="24"/>
              </w:rPr>
            </w:pPr>
            <w:r>
              <w:rPr>
                <w:szCs w:val="24"/>
              </w:rPr>
              <w:t>After discussion, M</w:t>
            </w:r>
            <w:r w:rsidR="00061446">
              <w:rPr>
                <w:szCs w:val="24"/>
              </w:rPr>
              <w:t xml:space="preserve">r. Szuch requested approval for </w:t>
            </w:r>
            <w:r>
              <w:rPr>
                <w:szCs w:val="24"/>
              </w:rPr>
              <w:t>forwarding the Resolution to the Consent Agenda at the June Board meeting.  A motion was received by Trustee Cole, seconded by Trustee Cavanaugh and approved by the Committee.</w:t>
            </w:r>
          </w:p>
          <w:p w14:paraId="7E7C5BCA" w14:textId="1DD133DB" w:rsidR="00423E33" w:rsidRPr="0000613E" w:rsidRDefault="00423E33" w:rsidP="00423E33">
            <w:pPr>
              <w:ind w:left="54"/>
              <w:rPr>
                <w:szCs w:val="24"/>
              </w:rPr>
            </w:pPr>
          </w:p>
        </w:tc>
        <w:tc>
          <w:tcPr>
            <w:tcW w:w="2340" w:type="dxa"/>
          </w:tcPr>
          <w:p w14:paraId="47B90E0F" w14:textId="0DB86965" w:rsidR="0074216F" w:rsidRDefault="0074216F" w:rsidP="00AF3B67">
            <w:pPr>
              <w:rPr>
                <w:b/>
                <w:szCs w:val="24"/>
              </w:rPr>
            </w:pPr>
            <w:r>
              <w:rPr>
                <w:b/>
                <w:szCs w:val="24"/>
              </w:rPr>
              <w:t>RESOLUTION NO. 15-05-04</w:t>
            </w:r>
          </w:p>
          <w:p w14:paraId="03DA60A7" w14:textId="3D6E3376" w:rsidR="0074216F" w:rsidRPr="0000613E" w:rsidRDefault="0074216F" w:rsidP="00AF3B67">
            <w:pPr>
              <w:rPr>
                <w:b/>
                <w:szCs w:val="24"/>
              </w:rPr>
            </w:pPr>
          </w:p>
        </w:tc>
      </w:tr>
      <w:tr w:rsidR="0074216F" w:rsidRPr="0000613E" w14:paraId="2A64DFD6" w14:textId="77777777" w:rsidTr="00AF3B67">
        <w:trPr>
          <w:trHeight w:val="180"/>
        </w:trPr>
        <w:tc>
          <w:tcPr>
            <w:tcW w:w="7830" w:type="dxa"/>
          </w:tcPr>
          <w:p w14:paraId="330420CC" w14:textId="4C15B648" w:rsidR="00BE24D8" w:rsidRDefault="00BE24D8" w:rsidP="00FA02C4">
            <w:pPr>
              <w:rPr>
                <w:szCs w:val="24"/>
              </w:rPr>
            </w:pPr>
            <w:r>
              <w:rPr>
                <w:szCs w:val="24"/>
              </w:rPr>
              <w:lastRenderedPageBreak/>
              <w:t xml:space="preserve">Mr. Dadey provided the Committee with information about the FY15 Third Quarter Financial Report. </w:t>
            </w:r>
            <w:r w:rsidR="004650A7">
              <w:rPr>
                <w:szCs w:val="24"/>
              </w:rPr>
              <w:t>Each Committee me</w:t>
            </w:r>
            <w:r w:rsidR="00353B98">
              <w:rPr>
                <w:szCs w:val="24"/>
              </w:rPr>
              <w:t>mber received a copy of the</w:t>
            </w:r>
            <w:r w:rsidR="004650A7">
              <w:rPr>
                <w:szCs w:val="24"/>
              </w:rPr>
              <w:t xml:space="preserve"> report prior to the meeting</w:t>
            </w:r>
            <w:r w:rsidR="00061446">
              <w:rPr>
                <w:szCs w:val="24"/>
              </w:rPr>
              <w:t xml:space="preserve"> for their review.  Mr. Dadey</w:t>
            </w:r>
            <w:r w:rsidR="00353B98">
              <w:rPr>
                <w:szCs w:val="24"/>
              </w:rPr>
              <w:t xml:space="preserve"> stat</w:t>
            </w:r>
            <w:r w:rsidR="004650A7">
              <w:rPr>
                <w:szCs w:val="24"/>
              </w:rPr>
              <w:t xml:space="preserve">ed that the projected financial </w:t>
            </w:r>
            <w:r w:rsidR="008B6670">
              <w:rPr>
                <w:szCs w:val="24"/>
              </w:rPr>
              <w:t>results showed a decrease in</w:t>
            </w:r>
            <w:r w:rsidR="004650A7">
              <w:rPr>
                <w:szCs w:val="24"/>
              </w:rPr>
              <w:t xml:space="preserve"> net position compared to an increase in FY14.  The variance was significantly impacted by lower investment returns in FY15 and changes in the clinical enterprise operating margin.  Mr. Dadey also provided information about investment income.  </w:t>
            </w:r>
            <w:r w:rsidR="008B6670">
              <w:rPr>
                <w:szCs w:val="24"/>
              </w:rPr>
              <w:t>The clinical enterprise was impacted by a shift in payer mix to le</w:t>
            </w:r>
            <w:r w:rsidR="00061446">
              <w:rPr>
                <w:szCs w:val="24"/>
              </w:rPr>
              <w:t>ss favorable payers that resulted</w:t>
            </w:r>
            <w:r w:rsidR="008B6670">
              <w:rPr>
                <w:szCs w:val="24"/>
              </w:rPr>
              <w:t xml:space="preserve"> in a reduction compared to FY14.  The UT Physicians group transferred money to the UT Foundation, which reduced UT Health’s net assets.  Other areas discussed included net student tuition and fees, auxiliary revenue, grant activity, State Share of Instruction, and operating expenses.  </w:t>
            </w:r>
          </w:p>
          <w:p w14:paraId="1474ABB5" w14:textId="033F6B4D" w:rsidR="008B6670" w:rsidRPr="0000613E" w:rsidRDefault="008B6670" w:rsidP="00061446">
            <w:pPr>
              <w:rPr>
                <w:szCs w:val="24"/>
              </w:rPr>
            </w:pPr>
          </w:p>
        </w:tc>
        <w:tc>
          <w:tcPr>
            <w:tcW w:w="2340" w:type="dxa"/>
          </w:tcPr>
          <w:p w14:paraId="55EBB20D" w14:textId="77777777" w:rsidR="004650A7" w:rsidRDefault="0074216F" w:rsidP="00AF3B67">
            <w:pPr>
              <w:rPr>
                <w:b/>
                <w:szCs w:val="24"/>
              </w:rPr>
            </w:pPr>
            <w:r>
              <w:rPr>
                <w:b/>
                <w:szCs w:val="24"/>
              </w:rPr>
              <w:t xml:space="preserve">FY15 THIRD </w:t>
            </w:r>
          </w:p>
          <w:p w14:paraId="0A04BE80" w14:textId="2B49C9F4" w:rsidR="00061446" w:rsidRDefault="0074216F" w:rsidP="00AF3B67">
            <w:pPr>
              <w:rPr>
                <w:b/>
                <w:szCs w:val="24"/>
              </w:rPr>
            </w:pPr>
            <w:r>
              <w:rPr>
                <w:b/>
                <w:szCs w:val="24"/>
              </w:rPr>
              <w:t xml:space="preserve">QUARTER </w:t>
            </w:r>
            <w:r w:rsidR="004650A7">
              <w:rPr>
                <w:b/>
                <w:szCs w:val="24"/>
              </w:rPr>
              <w:t xml:space="preserve">FINANCIAL </w:t>
            </w:r>
            <w:r w:rsidR="00061446">
              <w:rPr>
                <w:b/>
                <w:szCs w:val="24"/>
              </w:rPr>
              <w:t>REPORT</w:t>
            </w:r>
          </w:p>
          <w:p w14:paraId="730CF04A" w14:textId="77777777" w:rsidR="00061446" w:rsidRDefault="00061446" w:rsidP="00AF3B67">
            <w:pPr>
              <w:rPr>
                <w:b/>
                <w:szCs w:val="24"/>
              </w:rPr>
            </w:pPr>
          </w:p>
          <w:p w14:paraId="526B4523" w14:textId="77777777" w:rsidR="00061446" w:rsidRDefault="00061446" w:rsidP="00AF3B67">
            <w:pPr>
              <w:rPr>
                <w:b/>
                <w:szCs w:val="24"/>
              </w:rPr>
            </w:pPr>
          </w:p>
          <w:p w14:paraId="5AEBFD65" w14:textId="77777777" w:rsidR="0074216F" w:rsidRPr="0000613E" w:rsidRDefault="0074216F" w:rsidP="00061446">
            <w:pPr>
              <w:rPr>
                <w:b/>
                <w:szCs w:val="24"/>
              </w:rPr>
            </w:pPr>
          </w:p>
        </w:tc>
      </w:tr>
      <w:tr w:rsidR="00061446" w:rsidRPr="0000613E" w14:paraId="0612F854" w14:textId="77777777" w:rsidTr="00AF3B67">
        <w:trPr>
          <w:trHeight w:val="180"/>
        </w:trPr>
        <w:tc>
          <w:tcPr>
            <w:tcW w:w="7830" w:type="dxa"/>
          </w:tcPr>
          <w:p w14:paraId="0892EAF4" w14:textId="0A06EFE6" w:rsidR="00061446" w:rsidRDefault="00061446" w:rsidP="00E7008A">
            <w:pPr>
              <w:rPr>
                <w:szCs w:val="24"/>
              </w:rPr>
            </w:pPr>
            <w:r>
              <w:rPr>
                <w:szCs w:val="24"/>
              </w:rPr>
              <w:t xml:space="preserve">FY 2015 projections were discussed with comparisons to the prior year and the budget.  </w:t>
            </w:r>
            <w:r w:rsidR="00E7008A">
              <w:rPr>
                <w:szCs w:val="24"/>
              </w:rPr>
              <w:t xml:space="preserve">FY15 projections lag budget due to lower UT Health operating margin and lower enrollment/higher scholarship expense. </w:t>
            </w:r>
            <w:r w:rsidR="000D064B">
              <w:rPr>
                <w:szCs w:val="24"/>
              </w:rPr>
              <w:t>Bar charts of</w:t>
            </w:r>
            <w:r w:rsidR="00E7008A">
              <w:rPr>
                <w:szCs w:val="24"/>
              </w:rPr>
              <w:t xml:space="preserve"> Moody’s ratios were also </w:t>
            </w:r>
            <w:r w:rsidR="000D064B">
              <w:rPr>
                <w:szCs w:val="24"/>
              </w:rPr>
              <w:t>reviewed in the following areas:</w:t>
            </w:r>
          </w:p>
          <w:p w14:paraId="0E03FAF4" w14:textId="77777777" w:rsidR="000D064B" w:rsidRDefault="000D064B" w:rsidP="000D064B">
            <w:pPr>
              <w:numPr>
                <w:ilvl w:val="0"/>
                <w:numId w:val="24"/>
              </w:numPr>
              <w:ind w:left="432"/>
              <w:rPr>
                <w:szCs w:val="24"/>
              </w:rPr>
            </w:pPr>
            <w:r>
              <w:rPr>
                <w:szCs w:val="24"/>
              </w:rPr>
              <w:t>Expendable Resources-to-Debt and Expendable Resources-to-Operational Expenses</w:t>
            </w:r>
          </w:p>
          <w:p w14:paraId="414D7F41" w14:textId="02EEE898" w:rsidR="000D064B" w:rsidRDefault="000D064B" w:rsidP="000D064B">
            <w:pPr>
              <w:numPr>
                <w:ilvl w:val="0"/>
                <w:numId w:val="24"/>
              </w:numPr>
              <w:ind w:left="432"/>
              <w:rPr>
                <w:szCs w:val="24"/>
              </w:rPr>
            </w:pPr>
            <w:r>
              <w:rPr>
                <w:szCs w:val="24"/>
              </w:rPr>
              <w:t>Debt-to-Operating Revenue and Average Debt Service Coverage</w:t>
            </w:r>
          </w:p>
          <w:p w14:paraId="0195BD42" w14:textId="77777777" w:rsidR="000D064B" w:rsidRDefault="000D064B" w:rsidP="000D064B">
            <w:pPr>
              <w:numPr>
                <w:ilvl w:val="0"/>
                <w:numId w:val="24"/>
              </w:numPr>
              <w:ind w:left="432"/>
              <w:rPr>
                <w:szCs w:val="24"/>
              </w:rPr>
            </w:pPr>
            <w:r>
              <w:rPr>
                <w:szCs w:val="24"/>
              </w:rPr>
              <w:t>Monthly Days Cash on Hand and Monthly Liquidity-to-Debt</w:t>
            </w:r>
          </w:p>
          <w:p w14:paraId="797713A5" w14:textId="09A08417" w:rsidR="000D064B" w:rsidRPr="0000613E" w:rsidRDefault="000D064B" w:rsidP="00435900">
            <w:pPr>
              <w:numPr>
                <w:ilvl w:val="0"/>
                <w:numId w:val="24"/>
              </w:numPr>
              <w:ind w:left="432"/>
              <w:rPr>
                <w:szCs w:val="24"/>
              </w:rPr>
            </w:pPr>
            <w:r>
              <w:rPr>
                <w:szCs w:val="24"/>
              </w:rPr>
              <w:t>Operating Cash Flow Margin and Operating Margin (%)</w:t>
            </w:r>
          </w:p>
        </w:tc>
        <w:tc>
          <w:tcPr>
            <w:tcW w:w="2340" w:type="dxa"/>
          </w:tcPr>
          <w:p w14:paraId="6472EA98" w14:textId="472DF7D0" w:rsidR="00061446" w:rsidRDefault="00061446" w:rsidP="00061446">
            <w:pPr>
              <w:rPr>
                <w:b/>
                <w:szCs w:val="24"/>
              </w:rPr>
            </w:pPr>
            <w:r>
              <w:rPr>
                <w:b/>
                <w:szCs w:val="24"/>
              </w:rPr>
              <w:t>FY</w:t>
            </w:r>
            <w:r w:rsidR="000D064B">
              <w:rPr>
                <w:b/>
                <w:szCs w:val="24"/>
              </w:rPr>
              <w:t xml:space="preserve"> 20</w:t>
            </w:r>
            <w:r>
              <w:rPr>
                <w:b/>
                <w:szCs w:val="24"/>
              </w:rPr>
              <w:t>15 PROJECTIONS</w:t>
            </w:r>
          </w:p>
          <w:p w14:paraId="6839A244" w14:textId="77777777" w:rsidR="00061446" w:rsidRDefault="00061446" w:rsidP="00AF3B67">
            <w:pPr>
              <w:rPr>
                <w:b/>
                <w:szCs w:val="24"/>
              </w:rPr>
            </w:pPr>
          </w:p>
        </w:tc>
      </w:tr>
      <w:tr w:rsidR="0074216F" w:rsidRPr="0000613E" w14:paraId="41057AC7" w14:textId="77777777" w:rsidTr="00AF3B67">
        <w:trPr>
          <w:trHeight w:val="180"/>
        </w:trPr>
        <w:tc>
          <w:tcPr>
            <w:tcW w:w="7830" w:type="dxa"/>
          </w:tcPr>
          <w:p w14:paraId="3EC99EA4" w14:textId="0FBAAB2E" w:rsidR="0074216F" w:rsidRDefault="00435900" w:rsidP="00FA02C4">
            <w:pPr>
              <w:rPr>
                <w:szCs w:val="24"/>
              </w:rPr>
            </w:pPr>
            <w:r>
              <w:rPr>
                <w:szCs w:val="24"/>
              </w:rPr>
              <w:t xml:space="preserve">Mr. Thomas Biggs, </w:t>
            </w:r>
            <w:r w:rsidR="00E73DB1">
              <w:rPr>
                <w:szCs w:val="24"/>
              </w:rPr>
              <w:t xml:space="preserve">Interim Sr. VP Finance and Administration, presented the Committee with the FY 2016 President’s Recommended Budget for the first reading.  </w:t>
            </w:r>
            <w:r w:rsidR="00D81DA1">
              <w:rPr>
                <w:szCs w:val="24"/>
              </w:rPr>
              <w:t xml:space="preserve">A draft copy of the budget for fiscal year ending June 30, 2016 was emailed to the Committee prior to the meeting for their review.  </w:t>
            </w:r>
            <w:r w:rsidR="00E73DB1">
              <w:rPr>
                <w:szCs w:val="24"/>
              </w:rPr>
              <w:t xml:space="preserve">Mr. Biggs </w:t>
            </w:r>
            <w:r w:rsidR="00D81DA1">
              <w:rPr>
                <w:szCs w:val="24"/>
              </w:rPr>
              <w:t>provided</w:t>
            </w:r>
            <w:r w:rsidR="00E73DB1">
              <w:rPr>
                <w:szCs w:val="24"/>
              </w:rPr>
              <w:t xml:space="preserve"> an overview of FY15 financial results.  He discussed the Five Year Plan for 2016-2020</w:t>
            </w:r>
            <w:r w:rsidR="00D81DA1">
              <w:rPr>
                <w:szCs w:val="24"/>
              </w:rPr>
              <w:t>, which</w:t>
            </w:r>
            <w:r w:rsidR="000F6F07">
              <w:rPr>
                <w:szCs w:val="24"/>
              </w:rPr>
              <w:t xml:space="preserve"> projects a $38.5 million </w:t>
            </w:r>
            <w:r w:rsidR="00D81DA1">
              <w:rPr>
                <w:szCs w:val="24"/>
              </w:rPr>
              <w:t>deficit by 2020 (Academic), and a</w:t>
            </w:r>
            <w:r w:rsidR="00E73DB1">
              <w:rPr>
                <w:szCs w:val="24"/>
              </w:rPr>
              <w:t xml:space="preserve"> plan to close this gap over a five-year period.  Highlights of the 2016 budget were identified and budget objectives were ou</w:t>
            </w:r>
            <w:r w:rsidR="00AE47A7">
              <w:rPr>
                <w:szCs w:val="24"/>
              </w:rPr>
              <w:t xml:space="preserve">tlined.  Mr. Biggs discussed </w:t>
            </w:r>
            <w:r w:rsidR="00E73DB1">
              <w:rPr>
                <w:szCs w:val="24"/>
              </w:rPr>
              <w:t xml:space="preserve">investment in enrollment and other key areas, as well as strengthening student/patient services and strengthening compliance oversight.  </w:t>
            </w:r>
            <w:r w:rsidR="000F6F07">
              <w:rPr>
                <w:szCs w:val="24"/>
              </w:rPr>
              <w:t>As each operating area</w:t>
            </w:r>
            <w:r w:rsidR="00D81DA1">
              <w:rPr>
                <w:szCs w:val="24"/>
              </w:rPr>
              <w:t xml:space="preserve">’s budget was reviewed, </w:t>
            </w:r>
            <w:r w:rsidR="000F6F07">
              <w:rPr>
                <w:szCs w:val="24"/>
              </w:rPr>
              <w:t xml:space="preserve">issues were addressed with </w:t>
            </w:r>
            <w:r w:rsidR="00AE47A7">
              <w:rPr>
                <w:szCs w:val="24"/>
              </w:rPr>
              <w:t xml:space="preserve">the </w:t>
            </w:r>
            <w:r w:rsidR="000F6F07">
              <w:rPr>
                <w:szCs w:val="24"/>
              </w:rPr>
              <w:t>hope</w:t>
            </w:r>
            <w:r w:rsidR="00AE47A7">
              <w:rPr>
                <w:szCs w:val="24"/>
              </w:rPr>
              <w:t xml:space="preserve"> of minimizing</w:t>
            </w:r>
            <w:r w:rsidR="000F6F07">
              <w:rPr>
                <w:szCs w:val="24"/>
              </w:rPr>
              <w:t xml:space="preserve"> additional</w:t>
            </w:r>
            <w:r w:rsidR="00AE47A7">
              <w:rPr>
                <w:szCs w:val="24"/>
              </w:rPr>
              <w:t xml:space="preserve"> </w:t>
            </w:r>
            <w:r w:rsidR="00D81DA1">
              <w:rPr>
                <w:szCs w:val="24"/>
              </w:rPr>
              <w:t>funding requests</w:t>
            </w:r>
            <w:r w:rsidR="000F6F07">
              <w:rPr>
                <w:szCs w:val="24"/>
              </w:rPr>
              <w:t xml:space="preserve"> during the year that were not resolved as part of the budget process.  Discussion at the meeting involved </w:t>
            </w:r>
            <w:r w:rsidR="00AE47A7">
              <w:rPr>
                <w:szCs w:val="24"/>
              </w:rPr>
              <w:t>closing the gap between c</w:t>
            </w:r>
            <w:r w:rsidR="000F6F07">
              <w:rPr>
                <w:szCs w:val="24"/>
              </w:rPr>
              <w:t xml:space="preserve">apital investment </w:t>
            </w:r>
            <w:r w:rsidR="00AE47A7">
              <w:rPr>
                <w:szCs w:val="24"/>
              </w:rPr>
              <w:t xml:space="preserve">and annual depreciation, as well as all sources of capital spending.  Mr. Biggs presented a long list of future challenges with the budget that must be addressed within the next five years.  </w:t>
            </w:r>
            <w:bookmarkStart w:id="0" w:name="_GoBack"/>
            <w:bookmarkEnd w:id="0"/>
            <w:r w:rsidR="00AE47A7">
              <w:rPr>
                <w:szCs w:val="24"/>
              </w:rPr>
              <w:t>The second reading of the FY16 budget will be presented to the full Board</w:t>
            </w:r>
            <w:r w:rsidR="00D81DA1">
              <w:rPr>
                <w:szCs w:val="24"/>
              </w:rPr>
              <w:t xml:space="preserve"> at their June 15 meeting with</w:t>
            </w:r>
            <w:r w:rsidR="00AE47A7">
              <w:rPr>
                <w:szCs w:val="24"/>
              </w:rPr>
              <w:t xml:space="preserve"> request for </w:t>
            </w:r>
            <w:r w:rsidR="00D81DA1">
              <w:rPr>
                <w:szCs w:val="24"/>
              </w:rPr>
              <w:t>approval.</w:t>
            </w:r>
          </w:p>
          <w:p w14:paraId="2FAEE0EA" w14:textId="6649F85B" w:rsidR="00E73DB1" w:rsidRPr="0000613E" w:rsidRDefault="00E73DB1" w:rsidP="00FA02C4">
            <w:pPr>
              <w:rPr>
                <w:szCs w:val="24"/>
              </w:rPr>
            </w:pPr>
          </w:p>
        </w:tc>
        <w:tc>
          <w:tcPr>
            <w:tcW w:w="2340" w:type="dxa"/>
          </w:tcPr>
          <w:p w14:paraId="18440F86" w14:textId="77777777" w:rsidR="006000C8" w:rsidRDefault="0074216F" w:rsidP="00AF3B67">
            <w:pPr>
              <w:rPr>
                <w:b/>
                <w:szCs w:val="24"/>
              </w:rPr>
            </w:pPr>
            <w:r>
              <w:rPr>
                <w:b/>
                <w:szCs w:val="24"/>
              </w:rPr>
              <w:t>FY</w:t>
            </w:r>
            <w:r w:rsidR="000D064B">
              <w:rPr>
                <w:b/>
                <w:szCs w:val="24"/>
              </w:rPr>
              <w:t xml:space="preserve"> 20</w:t>
            </w:r>
            <w:r>
              <w:rPr>
                <w:b/>
                <w:szCs w:val="24"/>
              </w:rPr>
              <w:t>16 PRESIDENT’S RECOMMENDED BUDGET</w:t>
            </w:r>
            <w:r w:rsidR="000D064B">
              <w:rPr>
                <w:b/>
                <w:szCs w:val="24"/>
              </w:rPr>
              <w:t xml:space="preserve"> – </w:t>
            </w:r>
          </w:p>
          <w:p w14:paraId="1DE659B2" w14:textId="0614423D" w:rsidR="0074216F" w:rsidRDefault="006000C8" w:rsidP="00AF3B67">
            <w:pPr>
              <w:rPr>
                <w:b/>
                <w:szCs w:val="24"/>
              </w:rPr>
            </w:pPr>
            <w:r>
              <w:rPr>
                <w:b/>
                <w:szCs w:val="24"/>
              </w:rPr>
              <w:t>FIRST</w:t>
            </w:r>
            <w:r w:rsidR="000D064B">
              <w:rPr>
                <w:b/>
                <w:szCs w:val="24"/>
              </w:rPr>
              <w:t xml:space="preserve"> READING</w:t>
            </w:r>
          </w:p>
          <w:p w14:paraId="62F736FD" w14:textId="2E76C813" w:rsidR="0074216F" w:rsidRPr="0000613E" w:rsidRDefault="0074216F" w:rsidP="00AF3B67">
            <w:pPr>
              <w:rPr>
                <w:b/>
                <w:szCs w:val="24"/>
              </w:rPr>
            </w:pPr>
          </w:p>
        </w:tc>
      </w:tr>
      <w:tr w:rsidR="001C5C8A" w:rsidRPr="0000613E" w14:paraId="3C97FABD" w14:textId="77777777" w:rsidTr="00AF3B67">
        <w:trPr>
          <w:trHeight w:val="180"/>
        </w:trPr>
        <w:tc>
          <w:tcPr>
            <w:tcW w:w="7830" w:type="dxa"/>
          </w:tcPr>
          <w:p w14:paraId="371EDBF3" w14:textId="35E8CBA9" w:rsidR="00F87C6E" w:rsidRDefault="001C5C8A" w:rsidP="00FA02C4">
            <w:pPr>
              <w:rPr>
                <w:szCs w:val="24"/>
              </w:rPr>
            </w:pPr>
            <w:r w:rsidRPr="0000613E">
              <w:rPr>
                <w:szCs w:val="24"/>
              </w:rPr>
              <w:t>Mr. David Cutri, Director of Internal Audit and Chief Compliance Officer, presented the Committee with an IA and Compliance status update.  Mr. C</w:t>
            </w:r>
            <w:r w:rsidR="00B67E9D">
              <w:rPr>
                <w:szCs w:val="24"/>
              </w:rPr>
              <w:t>utri reported that, of the 28</w:t>
            </w:r>
            <w:r w:rsidRPr="0000613E">
              <w:rPr>
                <w:szCs w:val="24"/>
              </w:rPr>
              <w:t xml:space="preserve"> projects on the approved Internal Audit and Compliance Plan, </w:t>
            </w:r>
            <w:r w:rsidR="00F87C6E">
              <w:rPr>
                <w:szCs w:val="24"/>
              </w:rPr>
              <w:t>21 have been completed</w:t>
            </w:r>
            <w:r w:rsidR="00B67E9D">
              <w:rPr>
                <w:szCs w:val="24"/>
              </w:rPr>
              <w:t xml:space="preserve">.  </w:t>
            </w:r>
            <w:r w:rsidR="00F87C6E">
              <w:rPr>
                <w:szCs w:val="24"/>
              </w:rPr>
              <w:t xml:space="preserve">Three projects are in draft report phase and four projects have yet to be initiated or are in progress.  </w:t>
            </w:r>
            <w:r w:rsidR="00B67E9D">
              <w:rPr>
                <w:szCs w:val="24"/>
              </w:rPr>
              <w:t>He indicated that they appear to be on track for completing the Audit and Compliance Plan on time</w:t>
            </w:r>
            <w:r w:rsidR="00F87C6E">
              <w:rPr>
                <w:szCs w:val="24"/>
              </w:rPr>
              <w:t xml:space="preserve"> and within budget.  </w:t>
            </w:r>
          </w:p>
          <w:p w14:paraId="3ED9F467" w14:textId="77777777" w:rsidR="00F87C6E" w:rsidRDefault="00F87C6E" w:rsidP="00FA02C4">
            <w:pPr>
              <w:rPr>
                <w:szCs w:val="24"/>
              </w:rPr>
            </w:pPr>
          </w:p>
          <w:p w14:paraId="6351507E" w14:textId="701BFE88" w:rsidR="00B27F28" w:rsidRDefault="00061446" w:rsidP="00FA02C4">
            <w:pPr>
              <w:rPr>
                <w:szCs w:val="24"/>
              </w:rPr>
            </w:pPr>
            <w:r>
              <w:rPr>
                <w:szCs w:val="24"/>
              </w:rPr>
              <w:t xml:space="preserve">Mr. Cutri informed the Committee </w:t>
            </w:r>
            <w:r w:rsidR="00F87C6E">
              <w:rPr>
                <w:szCs w:val="24"/>
              </w:rPr>
              <w:t>that the level of coordination between the University and external auditors Plante &amp; Moran will be highly coordinated for the FY 2015 financial statement audit.</w:t>
            </w:r>
            <w:r w:rsidR="00B67E9D">
              <w:rPr>
                <w:szCs w:val="24"/>
              </w:rPr>
              <w:t xml:space="preserve"> </w:t>
            </w:r>
            <w:r w:rsidR="00F87C6E">
              <w:rPr>
                <w:szCs w:val="24"/>
              </w:rPr>
              <w:t xml:space="preserve">Internal Audit and Compliance coordination was discussed and a timeline for coordination with administration and the Board was outlined.  </w:t>
            </w:r>
          </w:p>
          <w:p w14:paraId="6BA10E0D" w14:textId="77777777" w:rsidR="00073D50" w:rsidRDefault="00073D50" w:rsidP="00FA02C4">
            <w:pPr>
              <w:rPr>
                <w:szCs w:val="24"/>
              </w:rPr>
            </w:pPr>
          </w:p>
          <w:p w14:paraId="5F544521" w14:textId="0DAD3236" w:rsidR="00FA02C4" w:rsidRDefault="00073D50" w:rsidP="00FA26EE">
            <w:pPr>
              <w:rPr>
                <w:szCs w:val="24"/>
              </w:rPr>
            </w:pPr>
            <w:r>
              <w:rPr>
                <w:szCs w:val="24"/>
              </w:rPr>
              <w:t>The FY 2016 audit planning process has begun and is in progress.  UT Internal Audit and Compliance employs a risk assessment planning program and input is solicited from the Board’s Finance and Audit Committee, senior leadership and external auditors.  Input includes feedback on risk exposure, new initiatives, and strategic plans.  Process and risk universes have been developed using varied sources and a risk model will be used to score all potential processes to be audited.  Mr. Cutri stated that he works with the CFO to ensure that there are sufficient resources to audit al</w:t>
            </w:r>
            <w:r w:rsidR="00FA26EE">
              <w:rPr>
                <w:szCs w:val="24"/>
              </w:rPr>
              <w:t>l</w:t>
            </w:r>
            <w:r>
              <w:rPr>
                <w:szCs w:val="24"/>
              </w:rPr>
              <w:t xml:space="preserve"> high-risk projects</w:t>
            </w:r>
            <w:r w:rsidR="00FA26EE">
              <w:rPr>
                <w:szCs w:val="24"/>
              </w:rPr>
              <w:t>.</w:t>
            </w:r>
            <w:r>
              <w:rPr>
                <w:szCs w:val="24"/>
              </w:rPr>
              <w:t xml:space="preserve"> </w:t>
            </w:r>
            <w:r w:rsidR="00FA26EE">
              <w:rPr>
                <w:szCs w:val="24"/>
              </w:rPr>
              <w:t>Observations thus far were discussed and a list of high-risk functional areas of interest was outlined.</w:t>
            </w:r>
          </w:p>
          <w:p w14:paraId="5B3C280C" w14:textId="77777777" w:rsidR="00FA26EE" w:rsidRDefault="00FA26EE" w:rsidP="00FA26EE">
            <w:pPr>
              <w:rPr>
                <w:szCs w:val="24"/>
              </w:rPr>
            </w:pPr>
          </w:p>
          <w:p w14:paraId="4189D92D" w14:textId="65D96067" w:rsidR="00D81DA1" w:rsidRPr="0000613E" w:rsidRDefault="00D81DA1" w:rsidP="00FA26EE">
            <w:pPr>
              <w:rPr>
                <w:szCs w:val="24"/>
              </w:rPr>
            </w:pPr>
          </w:p>
        </w:tc>
        <w:tc>
          <w:tcPr>
            <w:tcW w:w="2340" w:type="dxa"/>
          </w:tcPr>
          <w:p w14:paraId="605D604C" w14:textId="77777777" w:rsidR="001C5C8A" w:rsidRPr="0000613E" w:rsidRDefault="001C5C8A" w:rsidP="00AF3B67">
            <w:pPr>
              <w:rPr>
                <w:b/>
                <w:szCs w:val="24"/>
              </w:rPr>
            </w:pPr>
            <w:r w:rsidRPr="0000613E">
              <w:rPr>
                <w:b/>
                <w:szCs w:val="24"/>
              </w:rPr>
              <w:t>INTERNAL</w:t>
            </w:r>
          </w:p>
          <w:p w14:paraId="7944325A" w14:textId="77777777" w:rsidR="001C5C8A" w:rsidRPr="0000613E" w:rsidRDefault="001C5C8A" w:rsidP="00AF3B67">
            <w:pPr>
              <w:rPr>
                <w:b/>
                <w:szCs w:val="24"/>
              </w:rPr>
            </w:pPr>
            <w:r w:rsidRPr="0000613E">
              <w:rPr>
                <w:b/>
                <w:szCs w:val="24"/>
              </w:rPr>
              <w:t xml:space="preserve">AUDIT STATUS AND COMPLIANCE UPDATE </w:t>
            </w:r>
          </w:p>
          <w:p w14:paraId="484C925E" w14:textId="77777777" w:rsidR="001C5C8A" w:rsidRPr="0000613E" w:rsidRDefault="001C5C8A" w:rsidP="00AF3B67">
            <w:pPr>
              <w:rPr>
                <w:b/>
                <w:szCs w:val="24"/>
              </w:rPr>
            </w:pPr>
          </w:p>
        </w:tc>
      </w:tr>
      <w:tr w:rsidR="002F415B" w:rsidRPr="0000613E" w14:paraId="0C98CD4C" w14:textId="77777777" w:rsidTr="00EC7A4F">
        <w:trPr>
          <w:trHeight w:val="180"/>
        </w:trPr>
        <w:tc>
          <w:tcPr>
            <w:tcW w:w="7830" w:type="dxa"/>
          </w:tcPr>
          <w:p w14:paraId="2D7AEF4A" w14:textId="66FF0E78" w:rsidR="00686E1D" w:rsidRPr="0000613E" w:rsidRDefault="002F415B" w:rsidP="00F55C6E">
            <w:pPr>
              <w:rPr>
                <w:szCs w:val="24"/>
              </w:rPr>
            </w:pPr>
            <w:r w:rsidRPr="0000613E">
              <w:rPr>
                <w:szCs w:val="24"/>
              </w:rPr>
              <w:t xml:space="preserve">The Committee members </w:t>
            </w:r>
            <w:r w:rsidR="006122E9" w:rsidRPr="0000613E">
              <w:rPr>
                <w:szCs w:val="24"/>
              </w:rPr>
              <w:t>received information on</w:t>
            </w:r>
            <w:r w:rsidR="0048275D" w:rsidRPr="0000613E">
              <w:rPr>
                <w:szCs w:val="24"/>
              </w:rPr>
              <w:t xml:space="preserve"> investment performance </w:t>
            </w:r>
            <w:r w:rsidR="006122E9" w:rsidRPr="0000613E">
              <w:rPr>
                <w:szCs w:val="24"/>
              </w:rPr>
              <w:t>and</w:t>
            </w:r>
            <w:r w:rsidR="0048275D" w:rsidRPr="0000613E">
              <w:rPr>
                <w:szCs w:val="24"/>
              </w:rPr>
              <w:t xml:space="preserve"> re</w:t>
            </w:r>
            <w:r w:rsidR="006122E9" w:rsidRPr="0000613E">
              <w:rPr>
                <w:szCs w:val="24"/>
              </w:rPr>
              <w:t xml:space="preserve">ceived </w:t>
            </w:r>
            <w:r w:rsidRPr="0000613E">
              <w:rPr>
                <w:szCs w:val="24"/>
              </w:rPr>
              <w:t xml:space="preserve">copies of the </w:t>
            </w:r>
            <w:r w:rsidR="0048275D" w:rsidRPr="0000613E">
              <w:rPr>
                <w:szCs w:val="24"/>
              </w:rPr>
              <w:t xml:space="preserve">UT and UT Foundation Composite Performance Review </w:t>
            </w:r>
            <w:r w:rsidR="006122E9" w:rsidRPr="0000613E">
              <w:rPr>
                <w:szCs w:val="24"/>
              </w:rPr>
              <w:t xml:space="preserve">Report </w:t>
            </w:r>
            <w:r w:rsidR="0048275D" w:rsidRPr="0000613E">
              <w:rPr>
                <w:szCs w:val="24"/>
              </w:rPr>
              <w:t xml:space="preserve">and the UT Foundation Asset Allocation </w:t>
            </w:r>
            <w:r w:rsidR="006122E9" w:rsidRPr="0000613E">
              <w:rPr>
                <w:szCs w:val="24"/>
              </w:rPr>
              <w:t xml:space="preserve">Report </w:t>
            </w:r>
            <w:r w:rsidR="00FE2A21" w:rsidRPr="0000613E">
              <w:rPr>
                <w:szCs w:val="24"/>
              </w:rPr>
              <w:t xml:space="preserve">for the period ending </w:t>
            </w:r>
            <w:r w:rsidR="0074216F">
              <w:rPr>
                <w:szCs w:val="24"/>
              </w:rPr>
              <w:t>March</w:t>
            </w:r>
            <w:r w:rsidR="005248C5">
              <w:rPr>
                <w:szCs w:val="24"/>
              </w:rPr>
              <w:t xml:space="preserve"> 31, 2015</w:t>
            </w:r>
            <w:r w:rsidR="00503239" w:rsidRPr="0000613E">
              <w:rPr>
                <w:szCs w:val="24"/>
              </w:rPr>
              <w:t>.</w:t>
            </w:r>
          </w:p>
          <w:p w14:paraId="603AC06C" w14:textId="77777777" w:rsidR="00F55C6E" w:rsidRPr="0000613E" w:rsidRDefault="00F55C6E" w:rsidP="00F55C6E">
            <w:pPr>
              <w:rPr>
                <w:szCs w:val="24"/>
              </w:rPr>
            </w:pPr>
          </w:p>
        </w:tc>
        <w:tc>
          <w:tcPr>
            <w:tcW w:w="2340" w:type="dxa"/>
          </w:tcPr>
          <w:p w14:paraId="48F4E792" w14:textId="77777777" w:rsidR="002F415B" w:rsidRPr="0000613E" w:rsidRDefault="002F415B" w:rsidP="003D20EB">
            <w:pPr>
              <w:rPr>
                <w:b/>
                <w:szCs w:val="24"/>
              </w:rPr>
            </w:pPr>
            <w:r w:rsidRPr="0000613E">
              <w:rPr>
                <w:b/>
                <w:szCs w:val="24"/>
              </w:rPr>
              <w:t>INFORMATION ATTACHMENTS</w:t>
            </w:r>
          </w:p>
          <w:p w14:paraId="76649AF0" w14:textId="77777777" w:rsidR="002F415B" w:rsidRPr="0000613E" w:rsidRDefault="002F415B" w:rsidP="003D20EB">
            <w:pPr>
              <w:rPr>
                <w:b/>
                <w:szCs w:val="24"/>
              </w:rPr>
            </w:pPr>
          </w:p>
        </w:tc>
      </w:tr>
      <w:tr w:rsidR="002F415B" w:rsidRPr="0000613E" w14:paraId="44226E84" w14:textId="77777777" w:rsidTr="00EC7A4F">
        <w:trPr>
          <w:trHeight w:val="180"/>
        </w:trPr>
        <w:tc>
          <w:tcPr>
            <w:tcW w:w="7830" w:type="dxa"/>
          </w:tcPr>
          <w:p w14:paraId="5D08837F" w14:textId="2BCDD637" w:rsidR="002F415B" w:rsidRPr="0000613E" w:rsidRDefault="002F415B" w:rsidP="005248C5">
            <w:pPr>
              <w:rPr>
                <w:szCs w:val="24"/>
              </w:rPr>
            </w:pPr>
            <w:r w:rsidRPr="0000613E">
              <w:rPr>
                <w:szCs w:val="24"/>
              </w:rPr>
              <w:t>With no further business befo</w:t>
            </w:r>
            <w:r w:rsidR="00BD3C3E" w:rsidRPr="0000613E">
              <w:rPr>
                <w:szCs w:val="24"/>
              </w:rPr>
              <w:t>re the Committee, Trustee Szuch</w:t>
            </w:r>
            <w:r w:rsidRPr="0000613E">
              <w:rPr>
                <w:szCs w:val="24"/>
              </w:rPr>
              <w:t xml:space="preserve"> adjourned</w:t>
            </w:r>
            <w:r w:rsidR="00B84522" w:rsidRPr="0000613E">
              <w:rPr>
                <w:szCs w:val="24"/>
              </w:rPr>
              <w:t xml:space="preserve"> </w:t>
            </w:r>
            <w:r w:rsidR="00F55C6E" w:rsidRPr="0000613E">
              <w:rPr>
                <w:szCs w:val="24"/>
              </w:rPr>
              <w:t>the meeting at</w:t>
            </w:r>
            <w:r w:rsidR="00BA1112" w:rsidRPr="0000613E">
              <w:rPr>
                <w:szCs w:val="24"/>
              </w:rPr>
              <w:t xml:space="preserve"> </w:t>
            </w:r>
            <w:r w:rsidR="0074216F">
              <w:rPr>
                <w:szCs w:val="24"/>
              </w:rPr>
              <w:t>4:25 p</w:t>
            </w:r>
            <w:r w:rsidR="005248C5">
              <w:rPr>
                <w:szCs w:val="24"/>
              </w:rPr>
              <w:t>.m.</w:t>
            </w:r>
          </w:p>
        </w:tc>
        <w:tc>
          <w:tcPr>
            <w:tcW w:w="2340" w:type="dxa"/>
          </w:tcPr>
          <w:p w14:paraId="2AA98364" w14:textId="77777777" w:rsidR="002F415B" w:rsidRPr="0000613E" w:rsidRDefault="002F415B">
            <w:pPr>
              <w:pStyle w:val="Heading6"/>
              <w:rPr>
                <w:bCs/>
                <w:szCs w:val="24"/>
              </w:rPr>
            </w:pPr>
            <w:r w:rsidRPr="0000613E">
              <w:rPr>
                <w:bCs/>
                <w:szCs w:val="24"/>
              </w:rPr>
              <w:t>ADJOURNMENT</w:t>
            </w:r>
          </w:p>
        </w:tc>
      </w:tr>
    </w:tbl>
    <w:p w14:paraId="77F699F6" w14:textId="77777777" w:rsidR="00B81C40" w:rsidRPr="0000613E" w:rsidRDefault="00B81C40" w:rsidP="00DB666C">
      <w:pPr>
        <w:rPr>
          <w:szCs w:val="24"/>
        </w:rPr>
      </w:pPr>
    </w:p>
    <w:sectPr w:rsidR="00B81C40" w:rsidRPr="0000613E" w:rsidSect="0000613E">
      <w:headerReference w:type="even" r:id="rId9"/>
      <w:headerReference w:type="default" r:id="rId10"/>
      <w:footerReference w:type="even" r:id="rId11"/>
      <w:footerReference w:type="default" r:id="rId12"/>
      <w:footerReference w:type="first" r:id="rId13"/>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746D" w14:textId="77777777" w:rsidR="00073D50" w:rsidRDefault="00073D50">
      <w:r>
        <w:separator/>
      </w:r>
    </w:p>
  </w:endnote>
  <w:endnote w:type="continuationSeparator" w:id="0">
    <w:p w14:paraId="7BAF1FCE" w14:textId="77777777" w:rsidR="00073D50" w:rsidRDefault="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1DA1">
      <w:rPr>
        <w:rStyle w:val="PageNumber"/>
        <w:noProof/>
      </w:rPr>
      <w:t>3</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4AB" w14:textId="77777777" w:rsidR="00073D50" w:rsidRDefault="00073D50">
      <w:r>
        <w:separator/>
      </w:r>
    </w:p>
  </w:footnote>
  <w:footnote w:type="continuationSeparator" w:id="0">
    <w:p w14:paraId="548DC051" w14:textId="77777777" w:rsidR="00073D50" w:rsidRDefault="0007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4">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6"/>
  </w:num>
  <w:num w:numId="4">
    <w:abstractNumId w:val="1"/>
  </w:num>
  <w:num w:numId="5">
    <w:abstractNumId w:val="12"/>
  </w:num>
  <w:num w:numId="6">
    <w:abstractNumId w:val="7"/>
  </w:num>
  <w:num w:numId="7">
    <w:abstractNumId w:val="2"/>
  </w:num>
  <w:num w:numId="8">
    <w:abstractNumId w:val="13"/>
  </w:num>
  <w:num w:numId="9">
    <w:abstractNumId w:val="10"/>
  </w:num>
  <w:num w:numId="10">
    <w:abstractNumId w:val="22"/>
  </w:num>
  <w:num w:numId="11">
    <w:abstractNumId w:val="14"/>
  </w:num>
  <w:num w:numId="12">
    <w:abstractNumId w:val="5"/>
  </w:num>
  <w:num w:numId="13">
    <w:abstractNumId w:val="19"/>
  </w:num>
  <w:num w:numId="14">
    <w:abstractNumId w:val="11"/>
  </w:num>
  <w:num w:numId="15">
    <w:abstractNumId w:val="23"/>
  </w:num>
  <w:num w:numId="16">
    <w:abstractNumId w:val="18"/>
  </w:num>
  <w:num w:numId="17">
    <w:abstractNumId w:val="20"/>
  </w:num>
  <w:num w:numId="18">
    <w:abstractNumId w:val="21"/>
  </w:num>
  <w:num w:numId="19">
    <w:abstractNumId w:val="8"/>
  </w:num>
  <w:num w:numId="20">
    <w:abstractNumId w:val="3"/>
  </w:num>
  <w:num w:numId="21">
    <w:abstractNumId w:val="17"/>
  </w:num>
  <w:num w:numId="22">
    <w:abstractNumId w:val="0"/>
  </w:num>
  <w:num w:numId="23">
    <w:abstractNumId w:val="15"/>
  </w:num>
  <w:num w:numId="2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BB9"/>
    <w:rsid w:val="00000830"/>
    <w:rsid w:val="00002A02"/>
    <w:rsid w:val="000047C4"/>
    <w:rsid w:val="00004A23"/>
    <w:rsid w:val="00004AD8"/>
    <w:rsid w:val="0000550C"/>
    <w:rsid w:val="0000613E"/>
    <w:rsid w:val="000061E8"/>
    <w:rsid w:val="00006C1C"/>
    <w:rsid w:val="00006CB0"/>
    <w:rsid w:val="0001134D"/>
    <w:rsid w:val="0001148B"/>
    <w:rsid w:val="0001533C"/>
    <w:rsid w:val="00015E69"/>
    <w:rsid w:val="000164EE"/>
    <w:rsid w:val="000247CD"/>
    <w:rsid w:val="00024BDB"/>
    <w:rsid w:val="00025F90"/>
    <w:rsid w:val="00027CF0"/>
    <w:rsid w:val="00030135"/>
    <w:rsid w:val="00030BAE"/>
    <w:rsid w:val="00032724"/>
    <w:rsid w:val="00034074"/>
    <w:rsid w:val="0003479C"/>
    <w:rsid w:val="00034E36"/>
    <w:rsid w:val="000355AC"/>
    <w:rsid w:val="00035A4E"/>
    <w:rsid w:val="00037ACC"/>
    <w:rsid w:val="00037BBE"/>
    <w:rsid w:val="00044E31"/>
    <w:rsid w:val="0005127E"/>
    <w:rsid w:val="000522E8"/>
    <w:rsid w:val="000532EB"/>
    <w:rsid w:val="00054E32"/>
    <w:rsid w:val="00054EE8"/>
    <w:rsid w:val="00055F91"/>
    <w:rsid w:val="00060494"/>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4B3"/>
    <w:rsid w:val="0008585F"/>
    <w:rsid w:val="00086CC0"/>
    <w:rsid w:val="0009019E"/>
    <w:rsid w:val="00093C6D"/>
    <w:rsid w:val="0009540E"/>
    <w:rsid w:val="000954E9"/>
    <w:rsid w:val="00096356"/>
    <w:rsid w:val="00097E6E"/>
    <w:rsid w:val="000A02AA"/>
    <w:rsid w:val="000A2BE5"/>
    <w:rsid w:val="000A5E0B"/>
    <w:rsid w:val="000A7CD8"/>
    <w:rsid w:val="000B17D1"/>
    <w:rsid w:val="000B20DC"/>
    <w:rsid w:val="000B2590"/>
    <w:rsid w:val="000B2CA0"/>
    <w:rsid w:val="000C162C"/>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3E17"/>
    <w:rsid w:val="00115D2F"/>
    <w:rsid w:val="00116832"/>
    <w:rsid w:val="00117E8C"/>
    <w:rsid w:val="001218A3"/>
    <w:rsid w:val="00125340"/>
    <w:rsid w:val="00127047"/>
    <w:rsid w:val="0013198D"/>
    <w:rsid w:val="00131E42"/>
    <w:rsid w:val="001338F1"/>
    <w:rsid w:val="001338F5"/>
    <w:rsid w:val="001342B9"/>
    <w:rsid w:val="001453B7"/>
    <w:rsid w:val="00146E2E"/>
    <w:rsid w:val="001471EC"/>
    <w:rsid w:val="001474C1"/>
    <w:rsid w:val="00147901"/>
    <w:rsid w:val="00152602"/>
    <w:rsid w:val="001538E6"/>
    <w:rsid w:val="00153C44"/>
    <w:rsid w:val="00155A74"/>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696B"/>
    <w:rsid w:val="001972FF"/>
    <w:rsid w:val="001A0362"/>
    <w:rsid w:val="001A0765"/>
    <w:rsid w:val="001A1A1D"/>
    <w:rsid w:val="001A3289"/>
    <w:rsid w:val="001A6195"/>
    <w:rsid w:val="001A641D"/>
    <w:rsid w:val="001A758F"/>
    <w:rsid w:val="001A773C"/>
    <w:rsid w:val="001A78CB"/>
    <w:rsid w:val="001B414A"/>
    <w:rsid w:val="001B7005"/>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12C61"/>
    <w:rsid w:val="002152E6"/>
    <w:rsid w:val="0021569D"/>
    <w:rsid w:val="00217DF0"/>
    <w:rsid w:val="002203B6"/>
    <w:rsid w:val="00222A49"/>
    <w:rsid w:val="002251DB"/>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6351"/>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322C"/>
    <w:rsid w:val="002A3BB9"/>
    <w:rsid w:val="002A41E5"/>
    <w:rsid w:val="002A43E5"/>
    <w:rsid w:val="002A6755"/>
    <w:rsid w:val="002A6B29"/>
    <w:rsid w:val="002A6FC0"/>
    <w:rsid w:val="002B0960"/>
    <w:rsid w:val="002B30C3"/>
    <w:rsid w:val="002B3951"/>
    <w:rsid w:val="002B3D96"/>
    <w:rsid w:val="002B5343"/>
    <w:rsid w:val="002B5E61"/>
    <w:rsid w:val="002B6ECB"/>
    <w:rsid w:val="002B7A46"/>
    <w:rsid w:val="002C0AC1"/>
    <w:rsid w:val="002C46E7"/>
    <w:rsid w:val="002C4F84"/>
    <w:rsid w:val="002C557D"/>
    <w:rsid w:val="002C58CE"/>
    <w:rsid w:val="002C6A2C"/>
    <w:rsid w:val="002C6E33"/>
    <w:rsid w:val="002D08A2"/>
    <w:rsid w:val="002D3ED0"/>
    <w:rsid w:val="002D6DF4"/>
    <w:rsid w:val="002E2E55"/>
    <w:rsid w:val="002E4FC5"/>
    <w:rsid w:val="002F27C7"/>
    <w:rsid w:val="002F415B"/>
    <w:rsid w:val="00301E95"/>
    <w:rsid w:val="003032B7"/>
    <w:rsid w:val="003056D0"/>
    <w:rsid w:val="00305A76"/>
    <w:rsid w:val="00310FE2"/>
    <w:rsid w:val="00311865"/>
    <w:rsid w:val="00311FCE"/>
    <w:rsid w:val="00313AE6"/>
    <w:rsid w:val="00317D4D"/>
    <w:rsid w:val="00322EEC"/>
    <w:rsid w:val="003255CC"/>
    <w:rsid w:val="00326511"/>
    <w:rsid w:val="00327B1A"/>
    <w:rsid w:val="00327EBE"/>
    <w:rsid w:val="0033254E"/>
    <w:rsid w:val="00333EE0"/>
    <w:rsid w:val="00334569"/>
    <w:rsid w:val="00334884"/>
    <w:rsid w:val="003348AC"/>
    <w:rsid w:val="00336B44"/>
    <w:rsid w:val="0033737D"/>
    <w:rsid w:val="0034075B"/>
    <w:rsid w:val="00340949"/>
    <w:rsid w:val="00343E06"/>
    <w:rsid w:val="0034423F"/>
    <w:rsid w:val="00347D2A"/>
    <w:rsid w:val="003538BA"/>
    <w:rsid w:val="00353B98"/>
    <w:rsid w:val="00356264"/>
    <w:rsid w:val="003618B4"/>
    <w:rsid w:val="0036267A"/>
    <w:rsid w:val="003644B4"/>
    <w:rsid w:val="00372FD3"/>
    <w:rsid w:val="003748BF"/>
    <w:rsid w:val="00375C37"/>
    <w:rsid w:val="00376097"/>
    <w:rsid w:val="003776DA"/>
    <w:rsid w:val="00377A8D"/>
    <w:rsid w:val="00377F46"/>
    <w:rsid w:val="00381C6D"/>
    <w:rsid w:val="00381EB9"/>
    <w:rsid w:val="0038261A"/>
    <w:rsid w:val="003848A9"/>
    <w:rsid w:val="00386CCE"/>
    <w:rsid w:val="0039039D"/>
    <w:rsid w:val="00392B7C"/>
    <w:rsid w:val="003954D5"/>
    <w:rsid w:val="00396BDA"/>
    <w:rsid w:val="00396EAC"/>
    <w:rsid w:val="003A1876"/>
    <w:rsid w:val="003A4F72"/>
    <w:rsid w:val="003A5376"/>
    <w:rsid w:val="003A5F59"/>
    <w:rsid w:val="003A724B"/>
    <w:rsid w:val="003A737B"/>
    <w:rsid w:val="003B0D65"/>
    <w:rsid w:val="003B15C1"/>
    <w:rsid w:val="003B190C"/>
    <w:rsid w:val="003B3969"/>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2F0A"/>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72D5"/>
    <w:rsid w:val="00450187"/>
    <w:rsid w:val="00450334"/>
    <w:rsid w:val="0045202B"/>
    <w:rsid w:val="00452E87"/>
    <w:rsid w:val="00457E3B"/>
    <w:rsid w:val="00460623"/>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2076"/>
    <w:rsid w:val="004B3A3F"/>
    <w:rsid w:val="004B4F04"/>
    <w:rsid w:val="004B7022"/>
    <w:rsid w:val="004B77A2"/>
    <w:rsid w:val="004C0F4D"/>
    <w:rsid w:val="004C14CF"/>
    <w:rsid w:val="004C2625"/>
    <w:rsid w:val="004C2CEA"/>
    <w:rsid w:val="004C56C1"/>
    <w:rsid w:val="004C791A"/>
    <w:rsid w:val="004D0BB4"/>
    <w:rsid w:val="004D15B5"/>
    <w:rsid w:val="004D31A9"/>
    <w:rsid w:val="004D42D9"/>
    <w:rsid w:val="004D50E7"/>
    <w:rsid w:val="004D7084"/>
    <w:rsid w:val="004D716E"/>
    <w:rsid w:val="004D78F8"/>
    <w:rsid w:val="004E1706"/>
    <w:rsid w:val="004E2B2A"/>
    <w:rsid w:val="004E3064"/>
    <w:rsid w:val="004E4491"/>
    <w:rsid w:val="004E6FEE"/>
    <w:rsid w:val="004E7BE9"/>
    <w:rsid w:val="004F1E9A"/>
    <w:rsid w:val="004F3A36"/>
    <w:rsid w:val="004F48E7"/>
    <w:rsid w:val="004F62E2"/>
    <w:rsid w:val="004F643A"/>
    <w:rsid w:val="00502235"/>
    <w:rsid w:val="0050280B"/>
    <w:rsid w:val="00502B4B"/>
    <w:rsid w:val="00503239"/>
    <w:rsid w:val="005112F2"/>
    <w:rsid w:val="0051316C"/>
    <w:rsid w:val="0051585D"/>
    <w:rsid w:val="005204E2"/>
    <w:rsid w:val="00522A8B"/>
    <w:rsid w:val="005248C5"/>
    <w:rsid w:val="00527DDA"/>
    <w:rsid w:val="00530CFF"/>
    <w:rsid w:val="00530E7B"/>
    <w:rsid w:val="005313D7"/>
    <w:rsid w:val="005331D4"/>
    <w:rsid w:val="00534E55"/>
    <w:rsid w:val="00535287"/>
    <w:rsid w:val="00536A2C"/>
    <w:rsid w:val="0053769D"/>
    <w:rsid w:val="005411CB"/>
    <w:rsid w:val="005431D2"/>
    <w:rsid w:val="00544526"/>
    <w:rsid w:val="00546A1F"/>
    <w:rsid w:val="005511C0"/>
    <w:rsid w:val="0055218E"/>
    <w:rsid w:val="005554AA"/>
    <w:rsid w:val="0055716E"/>
    <w:rsid w:val="00561A21"/>
    <w:rsid w:val="00561CB1"/>
    <w:rsid w:val="00561E85"/>
    <w:rsid w:val="0056370D"/>
    <w:rsid w:val="00566D35"/>
    <w:rsid w:val="00571113"/>
    <w:rsid w:val="0057167E"/>
    <w:rsid w:val="00575A0D"/>
    <w:rsid w:val="005828EC"/>
    <w:rsid w:val="00583873"/>
    <w:rsid w:val="00585AA7"/>
    <w:rsid w:val="00585B72"/>
    <w:rsid w:val="00586E35"/>
    <w:rsid w:val="00587ED6"/>
    <w:rsid w:val="00591F08"/>
    <w:rsid w:val="00596C21"/>
    <w:rsid w:val="005978A5"/>
    <w:rsid w:val="005A1367"/>
    <w:rsid w:val="005A15FB"/>
    <w:rsid w:val="005A2771"/>
    <w:rsid w:val="005A3170"/>
    <w:rsid w:val="005A521D"/>
    <w:rsid w:val="005B0CE9"/>
    <w:rsid w:val="005B39FE"/>
    <w:rsid w:val="005B5845"/>
    <w:rsid w:val="005B6FEE"/>
    <w:rsid w:val="005C107F"/>
    <w:rsid w:val="005C2B67"/>
    <w:rsid w:val="005C7801"/>
    <w:rsid w:val="005D3CE9"/>
    <w:rsid w:val="005D5E07"/>
    <w:rsid w:val="005E010C"/>
    <w:rsid w:val="005E1003"/>
    <w:rsid w:val="005E1A04"/>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11D9C"/>
    <w:rsid w:val="006122E9"/>
    <w:rsid w:val="006171B1"/>
    <w:rsid w:val="006174C1"/>
    <w:rsid w:val="00617B70"/>
    <w:rsid w:val="00626D5A"/>
    <w:rsid w:val="00627851"/>
    <w:rsid w:val="00632BA1"/>
    <w:rsid w:val="0063316F"/>
    <w:rsid w:val="00633FA7"/>
    <w:rsid w:val="0063751C"/>
    <w:rsid w:val="006413FA"/>
    <w:rsid w:val="006417FB"/>
    <w:rsid w:val="006433C3"/>
    <w:rsid w:val="006449DA"/>
    <w:rsid w:val="00644C83"/>
    <w:rsid w:val="00652175"/>
    <w:rsid w:val="006528C0"/>
    <w:rsid w:val="00652DED"/>
    <w:rsid w:val="006548A9"/>
    <w:rsid w:val="00657275"/>
    <w:rsid w:val="00657F37"/>
    <w:rsid w:val="00660256"/>
    <w:rsid w:val="006602F5"/>
    <w:rsid w:val="00660C83"/>
    <w:rsid w:val="0066332E"/>
    <w:rsid w:val="00663A26"/>
    <w:rsid w:val="00664E6A"/>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E"/>
    <w:rsid w:val="006A69A8"/>
    <w:rsid w:val="006A7A45"/>
    <w:rsid w:val="006A7AB8"/>
    <w:rsid w:val="006B08AE"/>
    <w:rsid w:val="006B1A62"/>
    <w:rsid w:val="006B34BD"/>
    <w:rsid w:val="006B4A05"/>
    <w:rsid w:val="006B5671"/>
    <w:rsid w:val="006B5F44"/>
    <w:rsid w:val="006B6E6F"/>
    <w:rsid w:val="006C1B17"/>
    <w:rsid w:val="006C73B0"/>
    <w:rsid w:val="006C7FD1"/>
    <w:rsid w:val="006D0234"/>
    <w:rsid w:val="006D10CE"/>
    <w:rsid w:val="006E07A1"/>
    <w:rsid w:val="006E0979"/>
    <w:rsid w:val="006E0F06"/>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827"/>
    <w:rsid w:val="00720D8C"/>
    <w:rsid w:val="007219D3"/>
    <w:rsid w:val="00722083"/>
    <w:rsid w:val="007225A6"/>
    <w:rsid w:val="00722EF2"/>
    <w:rsid w:val="00725A1D"/>
    <w:rsid w:val="007272C2"/>
    <w:rsid w:val="007359E6"/>
    <w:rsid w:val="0073622D"/>
    <w:rsid w:val="00737C8D"/>
    <w:rsid w:val="00741FBC"/>
    <w:rsid w:val="0074216F"/>
    <w:rsid w:val="00742923"/>
    <w:rsid w:val="007442E5"/>
    <w:rsid w:val="0074709F"/>
    <w:rsid w:val="007478A6"/>
    <w:rsid w:val="007512BD"/>
    <w:rsid w:val="00754451"/>
    <w:rsid w:val="007565E6"/>
    <w:rsid w:val="00757B34"/>
    <w:rsid w:val="00760433"/>
    <w:rsid w:val="007629AC"/>
    <w:rsid w:val="007675BA"/>
    <w:rsid w:val="00767A36"/>
    <w:rsid w:val="00773F8E"/>
    <w:rsid w:val="007815B0"/>
    <w:rsid w:val="00782024"/>
    <w:rsid w:val="00782039"/>
    <w:rsid w:val="00782FB3"/>
    <w:rsid w:val="00791332"/>
    <w:rsid w:val="00794518"/>
    <w:rsid w:val="00794B61"/>
    <w:rsid w:val="00797B07"/>
    <w:rsid w:val="007A0DFB"/>
    <w:rsid w:val="007A3FF3"/>
    <w:rsid w:val="007A4C73"/>
    <w:rsid w:val="007B0280"/>
    <w:rsid w:val="007B087B"/>
    <w:rsid w:val="007B1615"/>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625"/>
    <w:rsid w:val="00833FAF"/>
    <w:rsid w:val="00835F23"/>
    <w:rsid w:val="008414A5"/>
    <w:rsid w:val="0084382A"/>
    <w:rsid w:val="00843937"/>
    <w:rsid w:val="00844AF8"/>
    <w:rsid w:val="008458C9"/>
    <w:rsid w:val="00847A0B"/>
    <w:rsid w:val="00856721"/>
    <w:rsid w:val="00857AE8"/>
    <w:rsid w:val="008616BE"/>
    <w:rsid w:val="00862C7A"/>
    <w:rsid w:val="008632AA"/>
    <w:rsid w:val="0086498B"/>
    <w:rsid w:val="008651DD"/>
    <w:rsid w:val="00870037"/>
    <w:rsid w:val="00870CAB"/>
    <w:rsid w:val="0087184C"/>
    <w:rsid w:val="00872556"/>
    <w:rsid w:val="00877ABF"/>
    <w:rsid w:val="00880997"/>
    <w:rsid w:val="00880A98"/>
    <w:rsid w:val="008810F9"/>
    <w:rsid w:val="0088370D"/>
    <w:rsid w:val="00883B53"/>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D02A7"/>
    <w:rsid w:val="008D4A5E"/>
    <w:rsid w:val="008D6B14"/>
    <w:rsid w:val="008E018A"/>
    <w:rsid w:val="008E0B12"/>
    <w:rsid w:val="008E2BF4"/>
    <w:rsid w:val="008E46D6"/>
    <w:rsid w:val="008E6DD9"/>
    <w:rsid w:val="008F033C"/>
    <w:rsid w:val="008F2544"/>
    <w:rsid w:val="008F2EAF"/>
    <w:rsid w:val="008F3206"/>
    <w:rsid w:val="00901677"/>
    <w:rsid w:val="00902BF0"/>
    <w:rsid w:val="009064E4"/>
    <w:rsid w:val="00907EBB"/>
    <w:rsid w:val="00910F79"/>
    <w:rsid w:val="00913347"/>
    <w:rsid w:val="009151D8"/>
    <w:rsid w:val="00917B17"/>
    <w:rsid w:val="00920CD2"/>
    <w:rsid w:val="00920DEC"/>
    <w:rsid w:val="009214C5"/>
    <w:rsid w:val="00922966"/>
    <w:rsid w:val="00931670"/>
    <w:rsid w:val="00934F1E"/>
    <w:rsid w:val="00935DE9"/>
    <w:rsid w:val="0093618E"/>
    <w:rsid w:val="00936B85"/>
    <w:rsid w:val="009416D9"/>
    <w:rsid w:val="00941E50"/>
    <w:rsid w:val="00944DF0"/>
    <w:rsid w:val="00945422"/>
    <w:rsid w:val="009456BC"/>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D32"/>
    <w:rsid w:val="009A0F1A"/>
    <w:rsid w:val="009A140C"/>
    <w:rsid w:val="009A28A9"/>
    <w:rsid w:val="009A4E08"/>
    <w:rsid w:val="009A7063"/>
    <w:rsid w:val="009B05C9"/>
    <w:rsid w:val="009B0C94"/>
    <w:rsid w:val="009B12C0"/>
    <w:rsid w:val="009B26E5"/>
    <w:rsid w:val="009B2886"/>
    <w:rsid w:val="009B2A09"/>
    <w:rsid w:val="009B3690"/>
    <w:rsid w:val="009C030E"/>
    <w:rsid w:val="009C141A"/>
    <w:rsid w:val="009C577C"/>
    <w:rsid w:val="009C6A9D"/>
    <w:rsid w:val="009D19F5"/>
    <w:rsid w:val="009E2945"/>
    <w:rsid w:val="009E2BB1"/>
    <w:rsid w:val="009E4196"/>
    <w:rsid w:val="009E47D6"/>
    <w:rsid w:val="009E4C98"/>
    <w:rsid w:val="009E77FD"/>
    <w:rsid w:val="009E7AD0"/>
    <w:rsid w:val="009F1051"/>
    <w:rsid w:val="009F12F3"/>
    <w:rsid w:val="009F4428"/>
    <w:rsid w:val="009F4AB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16A3"/>
    <w:rsid w:val="00A42073"/>
    <w:rsid w:val="00A42842"/>
    <w:rsid w:val="00A43C34"/>
    <w:rsid w:val="00A44048"/>
    <w:rsid w:val="00A46B4A"/>
    <w:rsid w:val="00A5194E"/>
    <w:rsid w:val="00A56032"/>
    <w:rsid w:val="00A56B9B"/>
    <w:rsid w:val="00A572DA"/>
    <w:rsid w:val="00A6225F"/>
    <w:rsid w:val="00A6242F"/>
    <w:rsid w:val="00A63C34"/>
    <w:rsid w:val="00A64748"/>
    <w:rsid w:val="00A65D85"/>
    <w:rsid w:val="00A723DA"/>
    <w:rsid w:val="00A766AE"/>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453A"/>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6E1E"/>
    <w:rsid w:val="00B079B8"/>
    <w:rsid w:val="00B10C41"/>
    <w:rsid w:val="00B1216B"/>
    <w:rsid w:val="00B13707"/>
    <w:rsid w:val="00B1455A"/>
    <w:rsid w:val="00B217F1"/>
    <w:rsid w:val="00B23B4D"/>
    <w:rsid w:val="00B24FC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3527"/>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22D4"/>
    <w:rsid w:val="00C045C7"/>
    <w:rsid w:val="00C05731"/>
    <w:rsid w:val="00C0686D"/>
    <w:rsid w:val="00C135A0"/>
    <w:rsid w:val="00C14066"/>
    <w:rsid w:val="00C17C8D"/>
    <w:rsid w:val="00C2074E"/>
    <w:rsid w:val="00C2213B"/>
    <w:rsid w:val="00C246AE"/>
    <w:rsid w:val="00C31B04"/>
    <w:rsid w:val="00C31D53"/>
    <w:rsid w:val="00C32420"/>
    <w:rsid w:val="00C37A76"/>
    <w:rsid w:val="00C410C6"/>
    <w:rsid w:val="00C41EB6"/>
    <w:rsid w:val="00C4287F"/>
    <w:rsid w:val="00C430D5"/>
    <w:rsid w:val="00C43465"/>
    <w:rsid w:val="00C44774"/>
    <w:rsid w:val="00C47E02"/>
    <w:rsid w:val="00C51537"/>
    <w:rsid w:val="00C522AA"/>
    <w:rsid w:val="00C52652"/>
    <w:rsid w:val="00C53F50"/>
    <w:rsid w:val="00C605B3"/>
    <w:rsid w:val="00C61644"/>
    <w:rsid w:val="00C62939"/>
    <w:rsid w:val="00C70046"/>
    <w:rsid w:val="00C707F5"/>
    <w:rsid w:val="00C753E9"/>
    <w:rsid w:val="00C82F25"/>
    <w:rsid w:val="00C849A3"/>
    <w:rsid w:val="00C87B01"/>
    <w:rsid w:val="00C92E97"/>
    <w:rsid w:val="00C94D9C"/>
    <w:rsid w:val="00C956DD"/>
    <w:rsid w:val="00C95F02"/>
    <w:rsid w:val="00C96F35"/>
    <w:rsid w:val="00C97A72"/>
    <w:rsid w:val="00CA203A"/>
    <w:rsid w:val="00CA2AA8"/>
    <w:rsid w:val="00CA2FD4"/>
    <w:rsid w:val="00CA57CC"/>
    <w:rsid w:val="00CA7A90"/>
    <w:rsid w:val="00CB09A4"/>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433E"/>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3B1F"/>
    <w:rsid w:val="00DF0389"/>
    <w:rsid w:val="00DF4106"/>
    <w:rsid w:val="00E01FC4"/>
    <w:rsid w:val="00E02BA8"/>
    <w:rsid w:val="00E038C9"/>
    <w:rsid w:val="00E12CAA"/>
    <w:rsid w:val="00E16091"/>
    <w:rsid w:val="00E16749"/>
    <w:rsid w:val="00E175B6"/>
    <w:rsid w:val="00E21890"/>
    <w:rsid w:val="00E22624"/>
    <w:rsid w:val="00E23367"/>
    <w:rsid w:val="00E302E0"/>
    <w:rsid w:val="00E305E2"/>
    <w:rsid w:val="00E32038"/>
    <w:rsid w:val="00E33169"/>
    <w:rsid w:val="00E34D3E"/>
    <w:rsid w:val="00E402B1"/>
    <w:rsid w:val="00E4415D"/>
    <w:rsid w:val="00E462F7"/>
    <w:rsid w:val="00E504EA"/>
    <w:rsid w:val="00E50B98"/>
    <w:rsid w:val="00E53318"/>
    <w:rsid w:val="00E541C2"/>
    <w:rsid w:val="00E54709"/>
    <w:rsid w:val="00E55227"/>
    <w:rsid w:val="00E57807"/>
    <w:rsid w:val="00E632A4"/>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E2"/>
    <w:rsid w:val="00E83F8D"/>
    <w:rsid w:val="00E854E3"/>
    <w:rsid w:val="00E86829"/>
    <w:rsid w:val="00E86AA2"/>
    <w:rsid w:val="00E90B0C"/>
    <w:rsid w:val="00E94207"/>
    <w:rsid w:val="00E96C01"/>
    <w:rsid w:val="00E96CA9"/>
    <w:rsid w:val="00E97A11"/>
    <w:rsid w:val="00EA10EB"/>
    <w:rsid w:val="00EA13B9"/>
    <w:rsid w:val="00EA4446"/>
    <w:rsid w:val="00EA6D44"/>
    <w:rsid w:val="00EB1B54"/>
    <w:rsid w:val="00EB1F45"/>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5776"/>
    <w:rsid w:val="00EF7580"/>
    <w:rsid w:val="00F011F5"/>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41D9"/>
    <w:rsid w:val="00F74424"/>
    <w:rsid w:val="00F74BB1"/>
    <w:rsid w:val="00F7536B"/>
    <w:rsid w:val="00F75842"/>
    <w:rsid w:val="00F7771B"/>
    <w:rsid w:val="00F8033C"/>
    <w:rsid w:val="00F806CD"/>
    <w:rsid w:val="00F844B4"/>
    <w:rsid w:val="00F8493E"/>
    <w:rsid w:val="00F86AFE"/>
    <w:rsid w:val="00F87C6E"/>
    <w:rsid w:val="00F92DFB"/>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36F9"/>
    <w:rsid w:val="00FD42B4"/>
    <w:rsid w:val="00FE2A21"/>
    <w:rsid w:val="00FE3C57"/>
    <w:rsid w:val="00FF3C91"/>
    <w:rsid w:val="00FF5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89DF-7D3B-4B41-9DAE-1268A2DD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Stasa, Joan</dc:creator>
  <cp:lastModifiedBy>Stasa, Joan</cp:lastModifiedBy>
  <cp:revision>5</cp:revision>
  <cp:lastPrinted>2015-04-01T16:43:00Z</cp:lastPrinted>
  <dcterms:created xsi:type="dcterms:W3CDTF">2015-06-08T13:40:00Z</dcterms:created>
  <dcterms:modified xsi:type="dcterms:W3CDTF">2015-06-08T16:02:00Z</dcterms:modified>
</cp:coreProperties>
</file>