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45E1" w14:textId="77777777" w:rsidR="00BC2693" w:rsidRPr="00640FA7" w:rsidRDefault="00BC2693" w:rsidP="00BC2693">
      <w:pPr>
        <w:jc w:val="center"/>
        <w:rPr>
          <w:rFonts w:ascii="Garamond" w:hAnsi="Garamond"/>
          <w:b/>
          <w:sz w:val="48"/>
        </w:rPr>
      </w:pPr>
      <w:r w:rsidRPr="00640FA7">
        <w:rPr>
          <w:rFonts w:ascii="Garamond" w:hAnsi="Garamond"/>
          <w:b/>
          <w:sz w:val="48"/>
        </w:rPr>
        <w:t>University of Toledo</w:t>
      </w:r>
    </w:p>
    <w:p w14:paraId="733C9CE1" w14:textId="77777777" w:rsidR="00BC2693" w:rsidRPr="00640FA7" w:rsidRDefault="00BC2693" w:rsidP="00BC2693">
      <w:pPr>
        <w:jc w:val="center"/>
        <w:rPr>
          <w:rFonts w:ascii="Garamond" w:hAnsi="Garamond"/>
        </w:rPr>
      </w:pPr>
    </w:p>
    <w:p w14:paraId="3EA285D7" w14:textId="77777777" w:rsidR="005A4FAB" w:rsidRDefault="005A4FAB" w:rsidP="00BC2693">
      <w:pPr>
        <w:jc w:val="center"/>
        <w:rPr>
          <w:rFonts w:ascii="Garamond" w:hAnsi="Garamond"/>
          <w:b/>
          <w:sz w:val="56"/>
        </w:rPr>
      </w:pPr>
      <w:r>
        <w:rPr>
          <w:rFonts w:ascii="Garamond" w:hAnsi="Garamond"/>
          <w:b/>
          <w:sz w:val="56"/>
        </w:rPr>
        <w:t>College of Arts and Letters</w:t>
      </w:r>
    </w:p>
    <w:p w14:paraId="775B6343" w14:textId="65E7A1BF" w:rsidR="00BC2693" w:rsidRPr="007C740E" w:rsidRDefault="00E060FE" w:rsidP="00BC2693">
      <w:pPr>
        <w:jc w:val="center"/>
        <w:rPr>
          <w:rFonts w:ascii="Garamond" w:hAnsi="Garamond"/>
          <w:b/>
          <w:sz w:val="56"/>
        </w:rPr>
      </w:pPr>
      <w:r>
        <w:rPr>
          <w:rFonts w:ascii="Garamond" w:hAnsi="Garamond"/>
          <w:b/>
          <w:sz w:val="56"/>
        </w:rPr>
        <w:t>Elaboration</w:t>
      </w:r>
      <w:r w:rsidR="00BC2693" w:rsidRPr="007C740E">
        <w:rPr>
          <w:rFonts w:ascii="Garamond" w:hAnsi="Garamond"/>
          <w:b/>
          <w:sz w:val="56"/>
        </w:rPr>
        <w:t>s for Faculty Evaluation</w:t>
      </w:r>
    </w:p>
    <w:p w14:paraId="07FC078A" w14:textId="77777777" w:rsidR="00BC2693" w:rsidRDefault="00BC2693" w:rsidP="00BC2693">
      <w:pPr>
        <w:jc w:val="center"/>
        <w:rPr>
          <w:rFonts w:ascii="Garamond" w:hAnsi="Garamond"/>
          <w:b/>
          <w:sz w:val="56"/>
        </w:rPr>
      </w:pPr>
      <w:r w:rsidRPr="007C740E">
        <w:rPr>
          <w:rFonts w:ascii="Garamond" w:hAnsi="Garamond"/>
          <w:b/>
          <w:sz w:val="56"/>
        </w:rPr>
        <w:t>of Tenure and Promotion</w:t>
      </w:r>
    </w:p>
    <w:p w14:paraId="2DE1C06E" w14:textId="77777777" w:rsidR="007C4CAE" w:rsidRDefault="007C4CAE" w:rsidP="00BC2693">
      <w:pPr>
        <w:jc w:val="center"/>
        <w:rPr>
          <w:rFonts w:ascii="Garamond" w:hAnsi="Garamond"/>
          <w:b/>
          <w:sz w:val="44"/>
        </w:rPr>
      </w:pPr>
    </w:p>
    <w:p w14:paraId="2CCC221B" w14:textId="5336B25A" w:rsidR="007C4CAE" w:rsidRPr="005C3D56" w:rsidRDefault="001D70D1" w:rsidP="00BC2693">
      <w:pPr>
        <w:jc w:val="center"/>
        <w:rPr>
          <w:rFonts w:ascii="Garamond" w:hAnsi="Garamond"/>
          <w:b/>
          <w:sz w:val="32"/>
          <w:szCs w:val="32"/>
        </w:rPr>
      </w:pPr>
      <w:r w:rsidRPr="005C3D56">
        <w:rPr>
          <w:rFonts w:ascii="Garamond" w:hAnsi="Garamond"/>
          <w:b/>
          <w:sz w:val="32"/>
          <w:szCs w:val="32"/>
        </w:rPr>
        <w:t>E</w:t>
      </w:r>
      <w:r w:rsidR="007C4CAE" w:rsidRPr="005C3D56">
        <w:rPr>
          <w:rFonts w:ascii="Garamond" w:hAnsi="Garamond"/>
          <w:b/>
          <w:sz w:val="32"/>
          <w:szCs w:val="32"/>
        </w:rPr>
        <w:t xml:space="preserve">ndorsed by </w:t>
      </w:r>
      <w:r w:rsidR="005A4FAB" w:rsidRPr="005C3D56">
        <w:rPr>
          <w:rFonts w:ascii="Garamond" w:hAnsi="Garamond"/>
          <w:b/>
          <w:sz w:val="32"/>
          <w:szCs w:val="32"/>
        </w:rPr>
        <w:t>College of Arts and Letters Council</w:t>
      </w:r>
      <w:r w:rsidR="007C4CAE" w:rsidRPr="005C3D56">
        <w:rPr>
          <w:rFonts w:ascii="Garamond" w:hAnsi="Garamond"/>
          <w:b/>
          <w:sz w:val="32"/>
          <w:szCs w:val="32"/>
        </w:rPr>
        <w:t xml:space="preserve"> </w:t>
      </w:r>
      <w:r w:rsidR="00B2521A" w:rsidRPr="005C3D56">
        <w:rPr>
          <w:rFonts w:ascii="Garamond" w:hAnsi="Garamond"/>
          <w:b/>
          <w:sz w:val="32"/>
          <w:szCs w:val="32"/>
        </w:rPr>
        <w:t>November 27, 2018</w:t>
      </w:r>
    </w:p>
    <w:p w14:paraId="74650AF2" w14:textId="58F76597" w:rsidR="00AD4558" w:rsidRPr="007C4CAE" w:rsidRDefault="00AD4558" w:rsidP="00BC2693">
      <w:pPr>
        <w:jc w:val="center"/>
        <w:rPr>
          <w:rFonts w:ascii="Garamond" w:hAnsi="Garamond"/>
          <w:b/>
          <w:sz w:val="44"/>
        </w:rPr>
      </w:pPr>
      <w:r w:rsidRPr="005C3D56">
        <w:rPr>
          <w:rFonts w:ascii="Garamond" w:hAnsi="Garamond"/>
          <w:b/>
          <w:sz w:val="32"/>
          <w:szCs w:val="32"/>
        </w:rPr>
        <w:t>Approved by CAL Dean November 28, 2018</w:t>
      </w:r>
      <w:r>
        <w:rPr>
          <w:rFonts w:ascii="Garamond" w:hAnsi="Garamond"/>
          <w:b/>
          <w:sz w:val="44"/>
        </w:rPr>
        <w:t xml:space="preserve"> </w:t>
      </w:r>
    </w:p>
    <w:p w14:paraId="6AB9F8E5" w14:textId="77777777" w:rsidR="00BC2693" w:rsidRPr="00561DB0" w:rsidRDefault="00BC2693" w:rsidP="00BC2693">
      <w:pPr>
        <w:rPr>
          <w:rFonts w:ascii="Garamond" w:hAnsi="Garamond"/>
          <w:b/>
          <w:sz w:val="44"/>
          <w:szCs w:val="36"/>
        </w:rPr>
      </w:pPr>
    </w:p>
    <w:p w14:paraId="7B8E5922" w14:textId="77777777" w:rsidR="00BC2693" w:rsidRPr="00561DB0" w:rsidRDefault="00BC2693" w:rsidP="00BC2693">
      <w:pPr>
        <w:jc w:val="center"/>
        <w:rPr>
          <w:rFonts w:ascii="Garamond" w:hAnsi="Garamond"/>
          <w:b/>
          <w:sz w:val="44"/>
          <w:szCs w:val="36"/>
        </w:rPr>
      </w:pPr>
      <w:r w:rsidRPr="00561DB0">
        <w:rPr>
          <w:rFonts w:ascii="Garamond" w:hAnsi="Garamond"/>
          <w:b/>
          <w:sz w:val="44"/>
          <w:szCs w:val="36"/>
        </w:rPr>
        <w:t>TABLE OF CONTENTS</w:t>
      </w:r>
    </w:p>
    <w:p w14:paraId="1EFE556E" w14:textId="77777777" w:rsidR="00BC2693" w:rsidRPr="00561DB0" w:rsidRDefault="00BC2693" w:rsidP="00BC2693">
      <w:pPr>
        <w:jc w:val="center"/>
        <w:rPr>
          <w:rFonts w:ascii="Garamond" w:hAnsi="Garamond"/>
          <w:b/>
          <w:sz w:val="36"/>
          <w:szCs w:val="36"/>
        </w:rPr>
      </w:pPr>
    </w:p>
    <w:p w14:paraId="1E201BFA" w14:textId="77777777" w:rsidR="00BC2693" w:rsidRPr="00561DB0" w:rsidRDefault="00BC2693" w:rsidP="00BC2693">
      <w:pPr>
        <w:rPr>
          <w:rFonts w:ascii="Garamond" w:hAnsi="Garamond"/>
          <w:sz w:val="36"/>
          <w:szCs w:val="36"/>
        </w:rPr>
      </w:pPr>
      <w:r w:rsidRPr="00561DB0">
        <w:rPr>
          <w:rFonts w:ascii="Garamond" w:hAnsi="Garamond"/>
          <w:sz w:val="36"/>
          <w:szCs w:val="36"/>
        </w:rPr>
        <w:t>Preamble</w:t>
      </w:r>
    </w:p>
    <w:p w14:paraId="50DE1671" w14:textId="77777777" w:rsidR="00BC2693" w:rsidRPr="00561DB0" w:rsidRDefault="00BC2693" w:rsidP="00BC2693">
      <w:pPr>
        <w:rPr>
          <w:rFonts w:ascii="Garamond" w:hAnsi="Garamond"/>
          <w:sz w:val="36"/>
          <w:szCs w:val="36"/>
        </w:rPr>
      </w:pPr>
    </w:p>
    <w:p w14:paraId="730FD7F8" w14:textId="00B3967F" w:rsidR="00BC2693" w:rsidRPr="00561DB0" w:rsidRDefault="00BC2693" w:rsidP="00BC2693">
      <w:pPr>
        <w:rPr>
          <w:rFonts w:ascii="Garamond" w:hAnsi="Garamond"/>
          <w:sz w:val="36"/>
          <w:szCs w:val="36"/>
        </w:rPr>
      </w:pPr>
      <w:r w:rsidRPr="00561DB0">
        <w:rPr>
          <w:rFonts w:ascii="Garamond" w:hAnsi="Garamond"/>
          <w:sz w:val="36"/>
          <w:szCs w:val="36"/>
        </w:rPr>
        <w:t xml:space="preserve">I. Principles of </w:t>
      </w:r>
      <w:r w:rsidR="00631594">
        <w:rPr>
          <w:rFonts w:ascii="Garamond" w:hAnsi="Garamond"/>
          <w:sz w:val="36"/>
          <w:szCs w:val="36"/>
        </w:rPr>
        <w:t>Elaboration</w:t>
      </w:r>
      <w:r w:rsidRPr="00561DB0">
        <w:rPr>
          <w:rFonts w:ascii="Garamond" w:hAnsi="Garamond"/>
          <w:sz w:val="36"/>
          <w:szCs w:val="36"/>
        </w:rPr>
        <w:t>s........................</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1</w:t>
      </w:r>
    </w:p>
    <w:p w14:paraId="41DD4D04" w14:textId="77777777" w:rsidR="00BC2693" w:rsidRPr="00561DB0" w:rsidRDefault="00BC2693" w:rsidP="00BC2693">
      <w:pPr>
        <w:rPr>
          <w:rFonts w:ascii="Garamond" w:hAnsi="Garamond"/>
          <w:sz w:val="36"/>
          <w:szCs w:val="36"/>
        </w:rPr>
      </w:pPr>
    </w:p>
    <w:p w14:paraId="61E0591C" w14:textId="77777777" w:rsidR="00BC2693" w:rsidRPr="00561DB0" w:rsidRDefault="00BC2693" w:rsidP="00BC2693">
      <w:pPr>
        <w:rPr>
          <w:rFonts w:ascii="Garamond" w:hAnsi="Garamond"/>
          <w:sz w:val="36"/>
          <w:szCs w:val="36"/>
        </w:rPr>
      </w:pPr>
      <w:r>
        <w:rPr>
          <w:rFonts w:ascii="Garamond" w:hAnsi="Garamond"/>
          <w:sz w:val="36"/>
          <w:szCs w:val="36"/>
        </w:rPr>
        <w:t>I</w:t>
      </w:r>
      <w:r w:rsidRPr="00561DB0">
        <w:rPr>
          <w:rFonts w:ascii="Garamond" w:hAnsi="Garamond"/>
          <w:sz w:val="36"/>
          <w:szCs w:val="36"/>
        </w:rPr>
        <w:t>I. Methods of Evaluation.....................</w:t>
      </w:r>
      <w:r>
        <w:rPr>
          <w:rFonts w:ascii="Garamond" w:hAnsi="Garamond"/>
          <w:sz w:val="36"/>
          <w:szCs w:val="36"/>
        </w:rPr>
        <w:t>...</w:t>
      </w:r>
      <w:r w:rsidRPr="00561DB0">
        <w:rPr>
          <w:rFonts w:ascii="Garamond" w:hAnsi="Garamond"/>
          <w:sz w:val="36"/>
          <w:szCs w:val="36"/>
        </w:rPr>
        <w:t>...............</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2</w:t>
      </w:r>
    </w:p>
    <w:p w14:paraId="76C76C06" w14:textId="77777777" w:rsidR="00BC2693" w:rsidRPr="00561DB0" w:rsidRDefault="00BC2693" w:rsidP="00BC2693">
      <w:pPr>
        <w:rPr>
          <w:rFonts w:ascii="Garamond" w:hAnsi="Garamond"/>
          <w:sz w:val="36"/>
          <w:szCs w:val="36"/>
        </w:rPr>
      </w:pPr>
    </w:p>
    <w:p w14:paraId="5B880EC0" w14:textId="77777777" w:rsidR="00BC2693" w:rsidRPr="00561DB0" w:rsidRDefault="00BC2693" w:rsidP="00BC2693">
      <w:pPr>
        <w:rPr>
          <w:rFonts w:ascii="Garamond" w:hAnsi="Garamond"/>
          <w:sz w:val="36"/>
          <w:szCs w:val="36"/>
        </w:rPr>
      </w:pPr>
      <w:r>
        <w:rPr>
          <w:rFonts w:ascii="Garamond" w:hAnsi="Garamond"/>
          <w:sz w:val="36"/>
          <w:szCs w:val="36"/>
        </w:rPr>
        <w:t>III</w:t>
      </w:r>
      <w:r w:rsidRPr="00561DB0">
        <w:rPr>
          <w:rFonts w:ascii="Garamond" w:hAnsi="Garamond"/>
          <w:sz w:val="36"/>
          <w:szCs w:val="36"/>
        </w:rPr>
        <w:t>. Categories of Evaluation.................................................</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5</w:t>
      </w:r>
    </w:p>
    <w:p w14:paraId="0DAABD3C" w14:textId="77777777" w:rsidR="00BC2693" w:rsidRPr="00561DB0" w:rsidRDefault="00BC2693" w:rsidP="00BC2693">
      <w:pPr>
        <w:rPr>
          <w:rFonts w:ascii="Garamond" w:hAnsi="Garamond"/>
          <w:sz w:val="36"/>
          <w:szCs w:val="36"/>
        </w:rPr>
      </w:pPr>
    </w:p>
    <w:p w14:paraId="6A2A6655" w14:textId="77777777" w:rsidR="00BC2693" w:rsidRPr="00561DB0" w:rsidRDefault="00BC2693" w:rsidP="00BC2693">
      <w:pPr>
        <w:ind w:firstLine="720"/>
        <w:rPr>
          <w:rFonts w:ascii="Garamond" w:hAnsi="Garamond"/>
          <w:sz w:val="36"/>
          <w:szCs w:val="36"/>
        </w:rPr>
      </w:pPr>
      <w:r w:rsidRPr="00561DB0">
        <w:rPr>
          <w:rFonts w:ascii="Garamond" w:hAnsi="Garamond"/>
          <w:sz w:val="36"/>
          <w:szCs w:val="36"/>
        </w:rPr>
        <w:t>A. Teaching.....................................................................</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5</w:t>
      </w:r>
    </w:p>
    <w:p w14:paraId="77A4CC47" w14:textId="77777777" w:rsidR="00BC2693" w:rsidRPr="00561DB0" w:rsidRDefault="00BC2693" w:rsidP="00BC2693">
      <w:pPr>
        <w:rPr>
          <w:rFonts w:ascii="Garamond" w:hAnsi="Garamond"/>
          <w:sz w:val="36"/>
          <w:szCs w:val="36"/>
        </w:rPr>
      </w:pPr>
    </w:p>
    <w:p w14:paraId="083DB43C" w14:textId="77777777" w:rsidR="00BC2693" w:rsidRPr="00561DB0" w:rsidRDefault="00BC2693" w:rsidP="00BC2693">
      <w:pPr>
        <w:ind w:left="720"/>
        <w:rPr>
          <w:rFonts w:ascii="Garamond" w:hAnsi="Garamond"/>
          <w:sz w:val="36"/>
          <w:szCs w:val="36"/>
        </w:rPr>
      </w:pPr>
      <w:r w:rsidRPr="00561DB0">
        <w:rPr>
          <w:rFonts w:ascii="Garamond" w:hAnsi="Garamond"/>
          <w:sz w:val="36"/>
          <w:szCs w:val="36"/>
        </w:rPr>
        <w:t xml:space="preserve">B. Professional Activity (Research, Scholarship, and Creative </w:t>
      </w:r>
      <w:proofErr w:type="gramStart"/>
      <w:r w:rsidRPr="00561DB0">
        <w:rPr>
          <w:rFonts w:ascii="Garamond" w:hAnsi="Garamond"/>
          <w:sz w:val="36"/>
          <w:szCs w:val="36"/>
        </w:rPr>
        <w:t>Activity)........................................................................</w:t>
      </w:r>
      <w:r>
        <w:rPr>
          <w:rFonts w:ascii="Garamond" w:hAnsi="Garamond"/>
          <w:sz w:val="36"/>
          <w:szCs w:val="36"/>
        </w:rPr>
        <w:t>.........</w:t>
      </w:r>
      <w:proofErr w:type="gramEnd"/>
      <w:r w:rsidRPr="00561DB0">
        <w:rPr>
          <w:rFonts w:ascii="Garamond" w:hAnsi="Garamond"/>
          <w:sz w:val="36"/>
          <w:szCs w:val="36"/>
        </w:rPr>
        <w:t xml:space="preserve">page </w:t>
      </w:r>
      <w:r>
        <w:rPr>
          <w:rFonts w:ascii="Garamond" w:hAnsi="Garamond"/>
          <w:sz w:val="36"/>
          <w:szCs w:val="36"/>
        </w:rPr>
        <w:t>7</w:t>
      </w:r>
    </w:p>
    <w:p w14:paraId="42381FC3" w14:textId="77777777" w:rsidR="00BC2693" w:rsidRPr="00561DB0" w:rsidRDefault="00BC2693" w:rsidP="00BC2693">
      <w:pPr>
        <w:rPr>
          <w:rFonts w:ascii="Garamond" w:hAnsi="Garamond"/>
          <w:sz w:val="36"/>
          <w:szCs w:val="36"/>
        </w:rPr>
      </w:pPr>
    </w:p>
    <w:p w14:paraId="7E275DFE" w14:textId="77777777" w:rsidR="00BC2693" w:rsidRPr="00561DB0" w:rsidRDefault="00BC2693" w:rsidP="00BC2693">
      <w:pPr>
        <w:ind w:firstLine="720"/>
        <w:rPr>
          <w:rFonts w:ascii="Garamond" w:hAnsi="Garamond"/>
          <w:sz w:val="36"/>
          <w:szCs w:val="36"/>
        </w:rPr>
      </w:pPr>
      <w:r w:rsidRPr="00561DB0">
        <w:rPr>
          <w:rFonts w:ascii="Garamond" w:hAnsi="Garamond"/>
          <w:sz w:val="36"/>
          <w:szCs w:val="36"/>
        </w:rPr>
        <w:t>C. Service.........................................................................</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10</w:t>
      </w:r>
    </w:p>
    <w:p w14:paraId="474DD787" w14:textId="77777777" w:rsidR="00BC2693" w:rsidRPr="00561DB0" w:rsidRDefault="00BC2693" w:rsidP="00BC2693">
      <w:pPr>
        <w:rPr>
          <w:rFonts w:ascii="Garamond" w:hAnsi="Garamond"/>
          <w:sz w:val="36"/>
          <w:szCs w:val="36"/>
        </w:rPr>
      </w:pPr>
    </w:p>
    <w:p w14:paraId="1052326F" w14:textId="77777777" w:rsidR="00BC2693" w:rsidRPr="00561DB0" w:rsidRDefault="00BC2693" w:rsidP="00BC2693">
      <w:pPr>
        <w:rPr>
          <w:rFonts w:ascii="Garamond" w:hAnsi="Garamond"/>
          <w:sz w:val="36"/>
          <w:szCs w:val="36"/>
        </w:rPr>
      </w:pPr>
      <w:r>
        <w:rPr>
          <w:rFonts w:ascii="Garamond" w:hAnsi="Garamond"/>
          <w:sz w:val="36"/>
          <w:szCs w:val="36"/>
        </w:rPr>
        <w:t>I</w:t>
      </w:r>
      <w:r w:rsidRPr="00561DB0">
        <w:rPr>
          <w:rFonts w:ascii="Garamond" w:hAnsi="Garamond"/>
          <w:sz w:val="36"/>
          <w:szCs w:val="36"/>
        </w:rPr>
        <w:t>V. Timelines..................................................</w:t>
      </w:r>
      <w:r>
        <w:rPr>
          <w:rFonts w:ascii="Garamond" w:hAnsi="Garamond"/>
          <w:sz w:val="36"/>
          <w:szCs w:val="36"/>
        </w:rPr>
        <w:t>...............................</w:t>
      </w:r>
      <w:r w:rsidRPr="00561DB0">
        <w:rPr>
          <w:rFonts w:ascii="Garamond" w:hAnsi="Garamond"/>
          <w:sz w:val="36"/>
          <w:szCs w:val="36"/>
        </w:rPr>
        <w:t xml:space="preserve">page </w:t>
      </w:r>
      <w:r>
        <w:rPr>
          <w:rFonts w:ascii="Garamond" w:hAnsi="Garamond"/>
          <w:sz w:val="36"/>
          <w:szCs w:val="36"/>
        </w:rPr>
        <w:t>12</w:t>
      </w:r>
    </w:p>
    <w:p w14:paraId="3C657E60" w14:textId="77777777" w:rsidR="00BC2693" w:rsidRPr="00561DB0" w:rsidRDefault="00BC2693" w:rsidP="00BC2693">
      <w:pPr>
        <w:rPr>
          <w:rFonts w:ascii="Garamond" w:hAnsi="Garamond"/>
          <w:b/>
          <w:sz w:val="44"/>
        </w:rPr>
      </w:pPr>
    </w:p>
    <w:p w14:paraId="1CAE0F9B" w14:textId="77777777" w:rsidR="00BC2693" w:rsidRDefault="00BC2693" w:rsidP="00BC2693">
      <w:pPr>
        <w:rPr>
          <w:rFonts w:ascii="Garamond" w:hAnsi="Garamond"/>
          <w:b/>
          <w:sz w:val="44"/>
        </w:rPr>
        <w:sectPr w:rsidR="00BC2693" w:rsidSect="00940579">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0"/>
          <w:cols w:space="720"/>
          <w:noEndnote/>
          <w:titlePg/>
        </w:sectPr>
      </w:pPr>
    </w:p>
    <w:p w14:paraId="034DEEC1" w14:textId="77777777" w:rsidR="00BC2693" w:rsidRPr="00E20C33" w:rsidRDefault="00BC2693" w:rsidP="00BC2693">
      <w:pPr>
        <w:jc w:val="center"/>
        <w:rPr>
          <w:rFonts w:ascii="Garamond" w:hAnsi="Garamond"/>
          <w:b/>
          <w:sz w:val="52"/>
        </w:rPr>
      </w:pPr>
      <w:r w:rsidRPr="00E20C33">
        <w:rPr>
          <w:rFonts w:ascii="Garamond" w:hAnsi="Garamond"/>
          <w:b/>
          <w:sz w:val="52"/>
        </w:rPr>
        <w:lastRenderedPageBreak/>
        <w:t>University of Toledo</w:t>
      </w:r>
    </w:p>
    <w:p w14:paraId="5FCD240C" w14:textId="77777777" w:rsidR="00BC2693" w:rsidRPr="00640FA7" w:rsidRDefault="00BC2693" w:rsidP="00BC2693">
      <w:pPr>
        <w:jc w:val="center"/>
        <w:rPr>
          <w:rFonts w:ascii="Garamond" w:hAnsi="Garamond"/>
        </w:rPr>
      </w:pPr>
    </w:p>
    <w:p w14:paraId="6344CAC6" w14:textId="77777777" w:rsidR="00C30997" w:rsidRDefault="00C30997" w:rsidP="00BC2693">
      <w:pPr>
        <w:jc w:val="center"/>
        <w:rPr>
          <w:rFonts w:ascii="Garamond" w:hAnsi="Garamond"/>
          <w:b/>
          <w:sz w:val="56"/>
        </w:rPr>
      </w:pPr>
      <w:r>
        <w:rPr>
          <w:rFonts w:ascii="Garamond" w:hAnsi="Garamond"/>
          <w:b/>
          <w:sz w:val="56"/>
        </w:rPr>
        <w:t>College of Arts and Letters</w:t>
      </w:r>
    </w:p>
    <w:p w14:paraId="5BECDA92" w14:textId="57D5C411" w:rsidR="00BC2693" w:rsidRPr="007C740E" w:rsidRDefault="005F7E65" w:rsidP="00BC2693">
      <w:pPr>
        <w:jc w:val="center"/>
        <w:rPr>
          <w:rFonts w:ascii="Garamond" w:hAnsi="Garamond"/>
          <w:b/>
          <w:sz w:val="56"/>
        </w:rPr>
      </w:pPr>
      <w:r>
        <w:rPr>
          <w:rFonts w:ascii="Garamond" w:hAnsi="Garamond"/>
          <w:b/>
          <w:sz w:val="56"/>
        </w:rPr>
        <w:t>Elaborations</w:t>
      </w:r>
      <w:r w:rsidR="00BC2693" w:rsidRPr="007C740E">
        <w:rPr>
          <w:rFonts w:ascii="Garamond" w:hAnsi="Garamond"/>
          <w:b/>
          <w:sz w:val="56"/>
        </w:rPr>
        <w:t xml:space="preserve"> for Faculty Evaluation</w:t>
      </w:r>
    </w:p>
    <w:p w14:paraId="2889E756" w14:textId="77777777" w:rsidR="00BC2693" w:rsidRPr="007C740E" w:rsidRDefault="00BC2693" w:rsidP="00BC2693">
      <w:pPr>
        <w:jc w:val="center"/>
        <w:rPr>
          <w:rFonts w:ascii="Garamond" w:hAnsi="Garamond"/>
          <w:b/>
          <w:sz w:val="56"/>
        </w:rPr>
      </w:pPr>
      <w:r w:rsidRPr="007C740E">
        <w:rPr>
          <w:rFonts w:ascii="Garamond" w:hAnsi="Garamond"/>
          <w:b/>
          <w:sz w:val="56"/>
        </w:rPr>
        <w:t>of Tenure and Promotion</w:t>
      </w:r>
    </w:p>
    <w:p w14:paraId="2676A0F6" w14:textId="77777777" w:rsidR="00D07A5B" w:rsidRPr="00561DB0" w:rsidRDefault="00D07A5B" w:rsidP="00BC2693">
      <w:pPr>
        <w:rPr>
          <w:rFonts w:ascii="Garamond" w:hAnsi="Garamond"/>
          <w:b/>
          <w:sz w:val="44"/>
          <w:szCs w:val="36"/>
        </w:rPr>
      </w:pPr>
    </w:p>
    <w:p w14:paraId="3E860AA0" w14:textId="77777777" w:rsidR="00BC2693" w:rsidRPr="00561DB0" w:rsidRDefault="00BC2693" w:rsidP="00BC2693">
      <w:pPr>
        <w:rPr>
          <w:rFonts w:ascii="Garamond" w:hAnsi="Garamond"/>
          <w:b/>
          <w:sz w:val="40"/>
        </w:rPr>
      </w:pPr>
      <w:r w:rsidRPr="00561DB0">
        <w:rPr>
          <w:rFonts w:ascii="Garamond" w:hAnsi="Garamond"/>
          <w:b/>
          <w:sz w:val="40"/>
        </w:rPr>
        <w:t>PREAMBLE</w:t>
      </w:r>
    </w:p>
    <w:p w14:paraId="375274FE" w14:textId="77777777" w:rsidR="00BC2693" w:rsidRPr="00561DB0" w:rsidRDefault="00BC2693" w:rsidP="00BC2693">
      <w:pPr>
        <w:rPr>
          <w:rFonts w:ascii="Garamond" w:hAnsi="Garamond"/>
        </w:rPr>
      </w:pPr>
    </w:p>
    <w:p w14:paraId="715EF815" w14:textId="456BFBAB" w:rsidR="00BC2693" w:rsidRPr="00B55239" w:rsidRDefault="00BC2693" w:rsidP="00BC2693">
      <w:pPr>
        <w:rPr>
          <w:rFonts w:ascii="Garamond" w:hAnsi="Garamond"/>
          <w:b/>
        </w:rPr>
      </w:pPr>
      <w:r w:rsidRPr="00561DB0">
        <w:rPr>
          <w:rFonts w:ascii="Garamond" w:hAnsi="Garamond"/>
        </w:rPr>
        <w:t xml:space="preserve">Tenure and promotion play a vital role in sustaining a functional university community where students and faculty flourish, and the university advances its mission to improve the human condition for all members of society. These </w:t>
      </w:r>
      <w:r w:rsidR="005F7E65">
        <w:rPr>
          <w:rFonts w:ascii="Garamond" w:hAnsi="Garamond"/>
        </w:rPr>
        <w:t>elaborations</w:t>
      </w:r>
      <w:r w:rsidRPr="00561DB0">
        <w:rPr>
          <w:rFonts w:ascii="Garamond" w:hAnsi="Garamond"/>
        </w:rPr>
        <w:t xml:space="preserve"> exist to promote the highest quality of excellence at the University of Toledo</w:t>
      </w:r>
      <w:r>
        <w:rPr>
          <w:rFonts w:ascii="Garamond" w:hAnsi="Garamond"/>
        </w:rPr>
        <w:t xml:space="preserve">. </w:t>
      </w:r>
      <w:r w:rsidRPr="00561DB0">
        <w:rPr>
          <w:rFonts w:ascii="Garamond" w:hAnsi="Garamond"/>
        </w:rPr>
        <w:t xml:space="preserve">The </w:t>
      </w:r>
      <w:r w:rsidR="00ED55A3">
        <w:rPr>
          <w:rFonts w:ascii="Garamond" w:hAnsi="Garamond"/>
        </w:rPr>
        <w:t xml:space="preserve">College of Arts and Letters </w:t>
      </w:r>
      <w:r w:rsidRPr="00561DB0">
        <w:rPr>
          <w:rFonts w:ascii="Garamond" w:hAnsi="Garamond"/>
        </w:rPr>
        <w:t>faculty and administration of the University of Toledo endorse</w:t>
      </w:r>
      <w:r w:rsidRPr="00561DB0">
        <w:rPr>
          <w:rFonts w:ascii="Garamond" w:eastAsia="Times New Roman" w:hAnsi="Garamond" w:cs="Times New Roman"/>
        </w:rPr>
        <w:t xml:space="preserve"> the following </w:t>
      </w:r>
      <w:r w:rsidR="005F7E65">
        <w:rPr>
          <w:rFonts w:ascii="Garamond" w:eastAsia="Times New Roman" w:hAnsi="Garamond" w:cs="Times New Roman"/>
        </w:rPr>
        <w:t>elaborations</w:t>
      </w:r>
      <w:r w:rsidRPr="00561DB0">
        <w:rPr>
          <w:rFonts w:ascii="Garamond" w:eastAsia="Times New Roman" w:hAnsi="Garamond" w:cs="Times New Roman"/>
        </w:rPr>
        <w:t xml:space="preserve"> for </w:t>
      </w:r>
      <w:r>
        <w:rPr>
          <w:rFonts w:ascii="Garamond" w:eastAsia="Times New Roman" w:hAnsi="Garamond" w:cs="Times New Roman"/>
        </w:rPr>
        <w:t xml:space="preserve">faculty evaluation of </w:t>
      </w:r>
      <w:r w:rsidRPr="00561DB0">
        <w:rPr>
          <w:rFonts w:ascii="Garamond" w:eastAsia="Times New Roman" w:hAnsi="Garamond" w:cs="Times New Roman"/>
        </w:rPr>
        <w:t>tenure and promotion.</w:t>
      </w:r>
    </w:p>
    <w:p w14:paraId="6360263A" w14:textId="77777777" w:rsidR="00BC2693" w:rsidRPr="00B55239" w:rsidRDefault="00BC2693" w:rsidP="00BC2693">
      <w:pPr>
        <w:rPr>
          <w:rFonts w:ascii="Garamond" w:hAnsi="Garamond"/>
        </w:rPr>
      </w:pPr>
    </w:p>
    <w:p w14:paraId="7AA76EC9" w14:textId="77777777" w:rsidR="00BC2693" w:rsidRPr="00B55239" w:rsidRDefault="00BC2693" w:rsidP="00BC2693">
      <w:pPr>
        <w:rPr>
          <w:rFonts w:ascii="Garamond" w:hAnsi="Garamond"/>
          <w:b/>
          <w:sz w:val="40"/>
        </w:rPr>
      </w:pPr>
      <w:r w:rsidRPr="00561DB0">
        <w:rPr>
          <w:rFonts w:ascii="Garamond" w:hAnsi="Garamond"/>
          <w:b/>
          <w:sz w:val="40"/>
        </w:rPr>
        <w:t xml:space="preserve">I. </w:t>
      </w:r>
      <w:r>
        <w:rPr>
          <w:rFonts w:ascii="Garamond" w:hAnsi="Garamond"/>
          <w:b/>
          <w:sz w:val="40"/>
        </w:rPr>
        <w:t>PRINCIPLES</w:t>
      </w:r>
    </w:p>
    <w:p w14:paraId="04520E8F" w14:textId="77777777" w:rsidR="00BC2693" w:rsidRPr="00561DB0" w:rsidRDefault="00BC2693" w:rsidP="00BC2693">
      <w:pPr>
        <w:pStyle w:val="ListParagraph"/>
        <w:rPr>
          <w:rFonts w:ascii="Garamond" w:hAnsi="Garamond"/>
        </w:rPr>
      </w:pPr>
    </w:p>
    <w:p w14:paraId="5B05290A" w14:textId="0B5E1102" w:rsidR="00BC2693" w:rsidRPr="00561DB0" w:rsidRDefault="00BC2693" w:rsidP="00BC2693">
      <w:pPr>
        <w:pStyle w:val="ListParagraph"/>
        <w:numPr>
          <w:ilvl w:val="0"/>
          <w:numId w:val="11"/>
        </w:numPr>
        <w:rPr>
          <w:rFonts w:ascii="Garamond" w:hAnsi="Garamond"/>
        </w:rPr>
      </w:pPr>
      <w:r w:rsidRPr="00561DB0">
        <w:rPr>
          <w:rFonts w:ascii="Garamond" w:hAnsi="Garamond"/>
          <w:b/>
        </w:rPr>
        <w:t xml:space="preserve">Relationship of these </w:t>
      </w:r>
      <w:r w:rsidR="005F7E65">
        <w:rPr>
          <w:rFonts w:ascii="Garamond" w:hAnsi="Garamond"/>
          <w:b/>
        </w:rPr>
        <w:t>elaborations</w:t>
      </w:r>
      <w:r w:rsidRPr="00561DB0">
        <w:rPr>
          <w:rFonts w:ascii="Garamond" w:hAnsi="Garamond"/>
          <w:b/>
        </w:rPr>
        <w:t xml:space="preserve"> to Departmental elaborations.</w:t>
      </w:r>
      <w:r>
        <w:rPr>
          <w:rStyle w:val="FootnoteReference"/>
          <w:rFonts w:ascii="Garamond" w:hAnsi="Garamond"/>
          <w:b/>
        </w:rPr>
        <w:footnoteReference w:id="1"/>
      </w:r>
      <w:r w:rsidRPr="00561DB0">
        <w:rPr>
          <w:rFonts w:ascii="Garamond" w:hAnsi="Garamond"/>
          <w:b/>
        </w:rPr>
        <w:t xml:space="preserve"> </w:t>
      </w:r>
      <w:r w:rsidR="00C30997">
        <w:rPr>
          <w:rFonts w:ascii="Garamond" w:hAnsi="Garamond"/>
        </w:rPr>
        <w:t>D</w:t>
      </w:r>
      <w:r w:rsidRPr="00561DB0">
        <w:rPr>
          <w:rFonts w:ascii="Garamond" w:hAnsi="Garamond"/>
        </w:rPr>
        <w:t xml:space="preserve">epartments and programs should use these </w:t>
      </w:r>
      <w:r w:rsidR="005F7E65">
        <w:rPr>
          <w:rFonts w:ascii="Garamond" w:hAnsi="Garamond"/>
        </w:rPr>
        <w:t>College-level elaborations</w:t>
      </w:r>
      <w:r w:rsidRPr="00561DB0">
        <w:rPr>
          <w:rFonts w:ascii="Garamond" w:hAnsi="Garamond"/>
        </w:rPr>
        <w:t xml:space="preserve"> as a model for</w:t>
      </w:r>
      <w:r w:rsidRPr="00561DB0">
        <w:rPr>
          <w:rFonts w:ascii="Garamond" w:hAnsi="Garamond"/>
          <w:b/>
        </w:rPr>
        <w:t xml:space="preserve"> </w:t>
      </w:r>
      <w:r w:rsidRPr="00561DB0">
        <w:rPr>
          <w:rFonts w:ascii="Garamond" w:hAnsi="Garamond"/>
        </w:rPr>
        <w:t>the composition of</w:t>
      </w:r>
      <w:r w:rsidRPr="00561DB0">
        <w:rPr>
          <w:rFonts w:ascii="Garamond" w:hAnsi="Garamond"/>
          <w:b/>
        </w:rPr>
        <w:t xml:space="preserve"> </w:t>
      </w:r>
      <w:r w:rsidRPr="00561DB0">
        <w:rPr>
          <w:rFonts w:ascii="Garamond" w:hAnsi="Garamond"/>
        </w:rPr>
        <w:t xml:space="preserve">their own </w:t>
      </w:r>
      <w:r w:rsidR="005F7E65">
        <w:rPr>
          <w:rFonts w:ascii="Garamond" w:hAnsi="Garamond"/>
        </w:rPr>
        <w:t xml:space="preserve">Departmental </w:t>
      </w:r>
      <w:r w:rsidRPr="00561DB0">
        <w:rPr>
          <w:rFonts w:ascii="Garamond" w:hAnsi="Garamond"/>
        </w:rPr>
        <w:t xml:space="preserve">elaborations, incorporating relevant descriptions and language from this document where appropriate. </w:t>
      </w:r>
      <w:r w:rsidR="005F7E65">
        <w:rPr>
          <w:rFonts w:ascii="Garamond" w:hAnsi="Garamond"/>
        </w:rPr>
        <w:t>Departmental</w:t>
      </w:r>
      <w:r w:rsidRPr="00561DB0">
        <w:rPr>
          <w:rFonts w:ascii="Garamond" w:hAnsi="Garamond"/>
        </w:rPr>
        <w:t xml:space="preserve"> elaborations should reflect the broad values and norms in </w:t>
      </w:r>
      <w:r w:rsidR="005F7E65">
        <w:rPr>
          <w:rFonts w:ascii="Garamond" w:hAnsi="Garamond"/>
        </w:rPr>
        <w:t>this college document</w:t>
      </w:r>
      <w:r w:rsidRPr="00561DB0">
        <w:rPr>
          <w:rFonts w:ascii="Garamond" w:hAnsi="Garamond"/>
        </w:rPr>
        <w:t xml:space="preserve">, but they should also define their own standards in greater detail. Individual </w:t>
      </w:r>
      <w:bookmarkStart w:id="0" w:name="_GoBack"/>
      <w:r w:rsidRPr="00561DB0">
        <w:rPr>
          <w:rFonts w:ascii="Garamond" w:hAnsi="Garamond"/>
        </w:rPr>
        <w:t xml:space="preserve">unit </w:t>
      </w:r>
      <w:bookmarkEnd w:id="0"/>
      <w:r w:rsidRPr="00561DB0">
        <w:rPr>
          <w:rFonts w:ascii="Garamond" w:hAnsi="Garamond"/>
        </w:rPr>
        <w:t xml:space="preserve">elaborations may establish higher standards than those contained within these </w:t>
      </w:r>
      <w:r w:rsidR="005F7E65">
        <w:rPr>
          <w:rFonts w:ascii="Garamond" w:hAnsi="Garamond"/>
        </w:rPr>
        <w:t>elaborations</w:t>
      </w:r>
      <w:r w:rsidRPr="00561DB0">
        <w:rPr>
          <w:rFonts w:ascii="Garamond" w:hAnsi="Garamond"/>
        </w:rPr>
        <w:t xml:space="preserve">, but they may not set lower standards than those stated here. </w:t>
      </w:r>
    </w:p>
    <w:p w14:paraId="70043B19" w14:textId="77777777" w:rsidR="00BC2693" w:rsidRPr="00BD24A7" w:rsidRDefault="00BC2693" w:rsidP="00BC2693">
      <w:pPr>
        <w:rPr>
          <w:rFonts w:ascii="Garamond" w:hAnsi="Garamond"/>
          <w:b/>
        </w:rPr>
      </w:pPr>
    </w:p>
    <w:p w14:paraId="6D5C1F72" w14:textId="7AE9AD24" w:rsidR="00BC2693" w:rsidRDefault="00BC2693" w:rsidP="00BC2693">
      <w:pPr>
        <w:pStyle w:val="ListParagraph"/>
        <w:numPr>
          <w:ilvl w:val="0"/>
          <w:numId w:val="1"/>
        </w:numPr>
        <w:rPr>
          <w:rFonts w:ascii="Garamond" w:hAnsi="Garamond"/>
        </w:rPr>
      </w:pPr>
      <w:r w:rsidRPr="00561DB0">
        <w:rPr>
          <w:rFonts w:ascii="Garamond" w:hAnsi="Garamond"/>
          <w:b/>
        </w:rPr>
        <w:t>Relationship to Collective Bargaining Agreement.</w:t>
      </w:r>
      <w:r w:rsidRPr="00561DB0">
        <w:rPr>
          <w:rFonts w:ascii="Garamond" w:hAnsi="Garamond"/>
        </w:rPr>
        <w:t xml:space="preserve"> These </w:t>
      </w:r>
      <w:r w:rsidR="005F7E65">
        <w:rPr>
          <w:rFonts w:ascii="Garamond" w:hAnsi="Garamond"/>
        </w:rPr>
        <w:t>elaborations</w:t>
      </w:r>
      <w:r w:rsidRPr="00561DB0">
        <w:rPr>
          <w:rFonts w:ascii="Garamond" w:hAnsi="Garamond"/>
        </w:rPr>
        <w:t xml:space="preserve"> are</w:t>
      </w:r>
      <w:r>
        <w:rPr>
          <w:rFonts w:ascii="Garamond" w:hAnsi="Garamond"/>
        </w:rPr>
        <w:t xml:space="preserve"> to be used to assist in the development of elaborations for departments and colleges. The intent of this document is not to conflict with the Collective Bargaining Agreement but to provide definitions and a common baseline standard for evaluating tenure and promotion. In the instance where this document is in conflict with the Collective Bargaining Agreement, the CBA shall prevail</w:t>
      </w:r>
      <w:r w:rsidRPr="00561DB0">
        <w:rPr>
          <w:rFonts w:ascii="Garamond" w:hAnsi="Garamond"/>
        </w:rPr>
        <w:t>.</w:t>
      </w:r>
      <w:r>
        <w:rPr>
          <w:rFonts w:ascii="Garamond" w:hAnsi="Garamond"/>
        </w:rPr>
        <w:t xml:space="preserve"> </w:t>
      </w:r>
    </w:p>
    <w:p w14:paraId="022F51E0" w14:textId="77777777" w:rsidR="00BC2693" w:rsidRPr="00561DB0" w:rsidRDefault="00BC2693" w:rsidP="00BC2693">
      <w:pPr>
        <w:pStyle w:val="ListParagraph"/>
        <w:rPr>
          <w:rFonts w:ascii="Garamond" w:hAnsi="Garamond"/>
        </w:rPr>
      </w:pPr>
    </w:p>
    <w:p w14:paraId="6C64C2C8" w14:textId="367A5CE5" w:rsidR="00BC2693" w:rsidRPr="00561DB0" w:rsidRDefault="00BC2693" w:rsidP="00BC2693">
      <w:pPr>
        <w:pStyle w:val="ListParagraph"/>
        <w:numPr>
          <w:ilvl w:val="0"/>
          <w:numId w:val="1"/>
        </w:numPr>
        <w:rPr>
          <w:rFonts w:ascii="Garamond" w:hAnsi="Garamond"/>
          <w:b/>
        </w:rPr>
      </w:pPr>
      <w:r w:rsidRPr="00561DB0">
        <w:rPr>
          <w:rFonts w:ascii="Garamond" w:hAnsi="Garamond"/>
          <w:b/>
        </w:rPr>
        <w:t xml:space="preserve">Maintenance of the policy. </w:t>
      </w:r>
      <w:r w:rsidRPr="00561DB0">
        <w:rPr>
          <w:rFonts w:ascii="Garamond" w:hAnsi="Garamond"/>
        </w:rPr>
        <w:t xml:space="preserve">This document has been drafted by faculty and reviewed and endorsed by </w:t>
      </w:r>
      <w:r w:rsidR="00F45388">
        <w:rPr>
          <w:rFonts w:ascii="Garamond" w:hAnsi="Garamond"/>
        </w:rPr>
        <w:t>the Arts and Letters College Council</w:t>
      </w:r>
      <w:r w:rsidRPr="00561DB0">
        <w:rPr>
          <w:rFonts w:ascii="Garamond" w:hAnsi="Garamond"/>
        </w:rPr>
        <w:t xml:space="preserve">. It will be housed in and administered by the </w:t>
      </w:r>
      <w:r w:rsidR="003D6803">
        <w:rPr>
          <w:rFonts w:ascii="Garamond" w:hAnsi="Garamond"/>
        </w:rPr>
        <w:t xml:space="preserve">Dean’s </w:t>
      </w:r>
      <w:r w:rsidRPr="00561DB0">
        <w:rPr>
          <w:rFonts w:ascii="Garamond" w:hAnsi="Garamond"/>
        </w:rPr>
        <w:t xml:space="preserve">office and is subject to the </w:t>
      </w:r>
      <w:r w:rsidR="003D6803">
        <w:rPr>
          <w:rFonts w:ascii="Garamond" w:hAnsi="Garamond"/>
        </w:rPr>
        <w:t xml:space="preserve">Dean’s </w:t>
      </w:r>
      <w:r w:rsidRPr="00561DB0">
        <w:rPr>
          <w:rFonts w:ascii="Garamond" w:hAnsi="Garamond"/>
        </w:rPr>
        <w:t xml:space="preserve">approval. </w:t>
      </w:r>
      <w:r>
        <w:rPr>
          <w:rFonts w:ascii="Garamond" w:hAnsi="Garamond"/>
        </w:rPr>
        <w:t xml:space="preserve">Subsequent revisions of this document shall also be subject to the </w:t>
      </w:r>
      <w:r w:rsidR="007C5CBD">
        <w:rPr>
          <w:rFonts w:ascii="Garamond" w:hAnsi="Garamond"/>
        </w:rPr>
        <w:t xml:space="preserve">Dean’s </w:t>
      </w:r>
      <w:r>
        <w:rPr>
          <w:rFonts w:ascii="Garamond" w:hAnsi="Garamond"/>
        </w:rPr>
        <w:t>approval.</w:t>
      </w:r>
    </w:p>
    <w:p w14:paraId="70916CA4" w14:textId="77777777" w:rsidR="00BC2693" w:rsidRPr="00C16C57" w:rsidRDefault="00BC2693" w:rsidP="00BC2693">
      <w:pPr>
        <w:rPr>
          <w:rFonts w:ascii="Garamond" w:hAnsi="Garamond"/>
          <w:b/>
        </w:rPr>
      </w:pPr>
    </w:p>
    <w:p w14:paraId="1601B569" w14:textId="77777777" w:rsidR="00BC2693" w:rsidRPr="00C16C57" w:rsidRDefault="00BC2693" w:rsidP="00BC2693">
      <w:pPr>
        <w:rPr>
          <w:rFonts w:ascii="Garamond" w:hAnsi="Garamond"/>
          <w:b/>
        </w:rPr>
      </w:pPr>
    </w:p>
    <w:p w14:paraId="5A992AED" w14:textId="77777777" w:rsidR="00BC2693" w:rsidRPr="00561DB0" w:rsidRDefault="00BC2693" w:rsidP="00BC2693">
      <w:pPr>
        <w:rPr>
          <w:rFonts w:ascii="Garamond" w:hAnsi="Garamond"/>
          <w:b/>
          <w:sz w:val="40"/>
        </w:rPr>
      </w:pPr>
      <w:r>
        <w:rPr>
          <w:rFonts w:ascii="Garamond" w:hAnsi="Garamond"/>
          <w:b/>
          <w:sz w:val="40"/>
        </w:rPr>
        <w:t>I</w:t>
      </w:r>
      <w:r w:rsidRPr="00561DB0">
        <w:rPr>
          <w:rFonts w:ascii="Garamond" w:hAnsi="Garamond"/>
          <w:b/>
          <w:sz w:val="40"/>
        </w:rPr>
        <w:t>I. METHODS OF EVALUATION</w:t>
      </w:r>
    </w:p>
    <w:p w14:paraId="41109F43" w14:textId="77777777" w:rsidR="00BC2693" w:rsidRPr="00561DB0" w:rsidRDefault="00BC2693" w:rsidP="00BC2693">
      <w:pPr>
        <w:rPr>
          <w:rFonts w:ascii="Garamond" w:hAnsi="Garamond"/>
          <w:b/>
          <w:sz w:val="32"/>
        </w:rPr>
      </w:pPr>
    </w:p>
    <w:p w14:paraId="35BAAD06" w14:textId="77777777" w:rsidR="00BC2693" w:rsidRPr="00561DB0" w:rsidRDefault="00BC2693" w:rsidP="00BC2693">
      <w:pPr>
        <w:rPr>
          <w:rFonts w:ascii="Garamond" w:hAnsi="Garamond"/>
          <w:b/>
          <w:sz w:val="36"/>
        </w:rPr>
      </w:pPr>
      <w:r w:rsidRPr="00561DB0">
        <w:rPr>
          <w:rFonts w:ascii="Garamond" w:hAnsi="Garamond"/>
          <w:b/>
          <w:sz w:val="36"/>
        </w:rPr>
        <w:t>A. Effectiveness in Academic Assignment</w:t>
      </w:r>
    </w:p>
    <w:p w14:paraId="558C974B" w14:textId="77777777" w:rsidR="00BC2693" w:rsidRPr="00561DB0" w:rsidRDefault="00BC2693" w:rsidP="00BC2693">
      <w:pPr>
        <w:rPr>
          <w:rFonts w:ascii="Garamond" w:hAnsi="Garamond"/>
        </w:rPr>
      </w:pPr>
    </w:p>
    <w:p w14:paraId="0D950977" w14:textId="4101B3A4" w:rsidR="00BC2693" w:rsidRPr="00561DB0" w:rsidRDefault="00BC2693" w:rsidP="00BC2693">
      <w:pPr>
        <w:rPr>
          <w:rFonts w:ascii="Garamond" w:hAnsi="Garamond"/>
        </w:rPr>
      </w:pPr>
      <w:r w:rsidRPr="00561DB0">
        <w:rPr>
          <w:rFonts w:ascii="Garamond" w:hAnsi="Garamond"/>
        </w:rPr>
        <w:t xml:space="preserve">Academic Assignment is the specific role given to a faculty member to support the educational mission of the University of Toledo. It is the primary but not the only consideration in evaluating a faculty member’s performance and is the essential condition for continuation and advancement within the university. Evaluators must consider all of the three categories described in these </w:t>
      </w:r>
      <w:r w:rsidR="005F7E65">
        <w:rPr>
          <w:rFonts w:ascii="Garamond" w:hAnsi="Garamond"/>
        </w:rPr>
        <w:t>elaborations</w:t>
      </w:r>
      <w:r w:rsidRPr="00561DB0">
        <w:rPr>
          <w:rFonts w:ascii="Garamond" w:hAnsi="Garamond"/>
        </w:rPr>
        <w:t>—teaching, professional activity, and service—in relation to the candidate’s academic assignment.</w:t>
      </w:r>
    </w:p>
    <w:p w14:paraId="2998DF51" w14:textId="77777777" w:rsidR="00BC2693" w:rsidRPr="00561DB0" w:rsidRDefault="00BC2693" w:rsidP="00BC2693">
      <w:pPr>
        <w:rPr>
          <w:rFonts w:ascii="Garamond" w:hAnsi="Garamond"/>
          <w:b/>
        </w:rPr>
      </w:pPr>
    </w:p>
    <w:p w14:paraId="68BBEC08" w14:textId="77777777" w:rsidR="00BC2693" w:rsidRPr="00561DB0" w:rsidRDefault="00BC2693" w:rsidP="00BC2693">
      <w:pPr>
        <w:rPr>
          <w:rFonts w:ascii="Garamond" w:hAnsi="Garamond"/>
          <w:b/>
          <w:sz w:val="36"/>
        </w:rPr>
      </w:pPr>
      <w:r w:rsidRPr="00561DB0">
        <w:rPr>
          <w:rFonts w:ascii="Garamond" w:hAnsi="Garamond"/>
          <w:b/>
          <w:sz w:val="36"/>
        </w:rPr>
        <w:t xml:space="preserve">B. Written Evaluations </w:t>
      </w:r>
    </w:p>
    <w:p w14:paraId="0C5AE54C" w14:textId="77777777" w:rsidR="00BC2693" w:rsidRPr="00561DB0" w:rsidRDefault="00BC2693" w:rsidP="00BC2693">
      <w:pPr>
        <w:rPr>
          <w:rFonts w:ascii="Garamond" w:hAnsi="Garamond"/>
          <w:b/>
        </w:rPr>
      </w:pPr>
    </w:p>
    <w:p w14:paraId="161B47CA" w14:textId="77777777" w:rsidR="00BC2693" w:rsidRPr="00561DB0" w:rsidRDefault="00BC2693" w:rsidP="00BC2693">
      <w:pPr>
        <w:rPr>
          <w:rFonts w:ascii="Garamond" w:hAnsi="Garamond"/>
        </w:rPr>
      </w:pPr>
      <w:r w:rsidRPr="00561DB0">
        <w:rPr>
          <w:rFonts w:ascii="Garamond" w:hAnsi="Garamond"/>
        </w:rPr>
        <w:t>There are two types of written evaluations used in the tenure and promotion process at the University of Toledo: (1) letters of evaluation that come from a structured process of faculty review within the university, and (2) letters of evaluation from peers specializing in the candidate’s field at other institutions. Both forms are essential, and neither can be substituted for the other, because they constitute related but importantly different perspectives on a candidate’s work.</w:t>
      </w:r>
    </w:p>
    <w:p w14:paraId="2F9DC62F" w14:textId="77777777" w:rsidR="00BC2693" w:rsidRPr="00561DB0" w:rsidRDefault="00BC2693" w:rsidP="00BC2693">
      <w:pPr>
        <w:pStyle w:val="ListParagraph"/>
        <w:rPr>
          <w:rFonts w:ascii="Garamond" w:hAnsi="Garamond"/>
        </w:rPr>
      </w:pPr>
    </w:p>
    <w:p w14:paraId="52C8BC95" w14:textId="77777777" w:rsidR="00BC2693" w:rsidRPr="00561DB0" w:rsidRDefault="00BC2693" w:rsidP="00BC2693">
      <w:pPr>
        <w:ind w:firstLine="360"/>
        <w:rPr>
          <w:rFonts w:ascii="Garamond" w:hAnsi="Garamond"/>
          <w:sz w:val="32"/>
        </w:rPr>
      </w:pPr>
      <w:r w:rsidRPr="00561DB0">
        <w:rPr>
          <w:rFonts w:ascii="Garamond" w:hAnsi="Garamond"/>
          <w:b/>
          <w:sz w:val="32"/>
        </w:rPr>
        <w:t>1. Internal Faculty Review</w:t>
      </w:r>
    </w:p>
    <w:p w14:paraId="79F79337" w14:textId="77777777" w:rsidR="00BC2693" w:rsidRPr="00561DB0" w:rsidRDefault="00BC2693" w:rsidP="00BC2693">
      <w:pPr>
        <w:rPr>
          <w:rFonts w:ascii="Garamond" w:hAnsi="Garamond"/>
        </w:rPr>
      </w:pPr>
    </w:p>
    <w:p w14:paraId="29D7A52F" w14:textId="62E3A74C" w:rsidR="00BC2693" w:rsidRPr="00561DB0" w:rsidRDefault="00BC2693" w:rsidP="00BC2693">
      <w:pPr>
        <w:pStyle w:val="ListParagraph"/>
        <w:numPr>
          <w:ilvl w:val="0"/>
          <w:numId w:val="1"/>
        </w:numPr>
        <w:rPr>
          <w:rFonts w:ascii="Garamond" w:hAnsi="Garamond"/>
        </w:rPr>
      </w:pPr>
      <w:r w:rsidRPr="00561DB0">
        <w:rPr>
          <w:rFonts w:ascii="Garamond" w:hAnsi="Garamond"/>
          <w:b/>
        </w:rPr>
        <w:t>Definition</w:t>
      </w:r>
      <w:r w:rsidRPr="00561DB0">
        <w:rPr>
          <w:rFonts w:ascii="Garamond" w:hAnsi="Garamond"/>
        </w:rPr>
        <w:t xml:space="preserve">. Internal faculty review is an extensive process of evaluation completed by faculty individuals, committees, and administrators at the candidate’s home institution. It follows deadlines set by the Academic Personnel Calendar published by the Provost’s office. This process dictates that untenured members are evaluated annually, and post-tenure candidates receive a review every five years. </w:t>
      </w:r>
      <w:r w:rsidRPr="00ED55A3">
        <w:rPr>
          <w:rFonts w:ascii="Garamond" w:hAnsi="Garamond"/>
        </w:rPr>
        <w:t>Only tenured Associate or Professors can participate in the formal evaluation process for Assistant Professors. In cases where Associate Professors seek promotion to Professor, faculty r</w:t>
      </w:r>
      <w:r w:rsidRPr="00ED55A3">
        <w:rPr>
          <w:rFonts w:ascii="Garamond" w:eastAsia="Times New Roman" w:hAnsi="Garamond" w:cs="Times New Roman"/>
        </w:rPr>
        <w:t>eviewers must consist only of tenured, full Professors. But reviewers’ disciplinary expertise also matters, and some smaller departments and programs may occasionally need to craft a committee that combines disciplinary expertise and attained rank across different members in order for the committee to perform a comprehensive and fair review</w:t>
      </w:r>
      <w:r w:rsidR="002E14D8" w:rsidRPr="00ED55A3">
        <w:rPr>
          <w:rFonts w:ascii="Garamond" w:eastAsia="Times New Roman" w:hAnsi="Garamond" w:cs="Times New Roman"/>
        </w:rPr>
        <w:t xml:space="preserve">; this is not unusual in the College of Arts and Letters, where there are many smaller departments and also interdisciplinary programs. </w:t>
      </w:r>
      <w:r w:rsidRPr="00ED55A3">
        <w:rPr>
          <w:rFonts w:ascii="Garamond" w:eastAsia="Times New Roman" w:hAnsi="Garamond" w:cs="Times New Roman"/>
        </w:rPr>
        <w:t xml:space="preserve">Such cases should occur only with prior written approval of the </w:t>
      </w:r>
      <w:r w:rsidR="00080B35" w:rsidRPr="00ED55A3">
        <w:rPr>
          <w:rFonts w:ascii="Garamond" w:eastAsia="Times New Roman" w:hAnsi="Garamond" w:cs="Times New Roman"/>
        </w:rPr>
        <w:t xml:space="preserve">College of Arts and Letters Dean and the </w:t>
      </w:r>
      <w:r w:rsidRPr="00ED55A3">
        <w:rPr>
          <w:rFonts w:ascii="Garamond" w:eastAsia="Times New Roman" w:hAnsi="Garamond" w:cs="Times New Roman"/>
        </w:rPr>
        <w:t>Provost when absolutely necessary, and the rationale should be documented in writing.</w:t>
      </w:r>
      <w:r w:rsidR="00395775">
        <w:rPr>
          <w:rFonts w:ascii="Garamond" w:eastAsia="Times New Roman" w:hAnsi="Garamond" w:cs="Times New Roman"/>
        </w:rPr>
        <w:t xml:space="preserve"> In no case, may a promotion or tenure application be assessed by less than </w:t>
      </w:r>
      <w:r w:rsidR="005F23CB">
        <w:rPr>
          <w:rFonts w:ascii="Garamond" w:eastAsia="Times New Roman" w:hAnsi="Garamond" w:cs="Times New Roman"/>
        </w:rPr>
        <w:t>three</w:t>
      </w:r>
      <w:r w:rsidR="00395775">
        <w:rPr>
          <w:rFonts w:ascii="Garamond" w:eastAsia="Times New Roman" w:hAnsi="Garamond" w:cs="Times New Roman"/>
        </w:rPr>
        <w:t xml:space="preserve"> faculty members</w:t>
      </w:r>
      <w:r w:rsidR="005F23CB">
        <w:rPr>
          <w:rFonts w:ascii="Garamond" w:eastAsia="Times New Roman" w:hAnsi="Garamond" w:cs="Times New Roman"/>
        </w:rPr>
        <w:t xml:space="preserve"> with appropriate rank and tenure status</w:t>
      </w:r>
      <w:r w:rsidR="00395775">
        <w:rPr>
          <w:rFonts w:ascii="Garamond" w:eastAsia="Times New Roman" w:hAnsi="Garamond" w:cs="Times New Roman"/>
        </w:rPr>
        <w:t>.</w:t>
      </w:r>
      <w:r w:rsidR="005F23CB">
        <w:rPr>
          <w:rFonts w:ascii="Garamond" w:eastAsia="Times New Roman" w:hAnsi="Garamond" w:cs="Times New Roman"/>
        </w:rPr>
        <w:t xml:space="preserve"> </w:t>
      </w:r>
      <w:r w:rsidRPr="00561DB0">
        <w:rPr>
          <w:rFonts w:ascii="Garamond" w:hAnsi="Garamond"/>
        </w:rPr>
        <w:t xml:space="preserve">See Departmental </w:t>
      </w:r>
      <w:r>
        <w:rPr>
          <w:rFonts w:ascii="Garamond" w:hAnsi="Garamond"/>
        </w:rPr>
        <w:t xml:space="preserve">elaborations </w:t>
      </w:r>
      <w:r w:rsidRPr="00561DB0">
        <w:rPr>
          <w:rFonts w:ascii="Garamond" w:hAnsi="Garamond"/>
        </w:rPr>
        <w:t>for additional information about individual unit expectations for internal faculty review.</w:t>
      </w:r>
    </w:p>
    <w:p w14:paraId="50E8CDD2" w14:textId="77777777" w:rsidR="00BC2693" w:rsidRPr="00561DB0" w:rsidRDefault="00BC2693" w:rsidP="00BC2693">
      <w:pPr>
        <w:rPr>
          <w:rFonts w:ascii="Garamond" w:hAnsi="Garamond"/>
        </w:rPr>
      </w:pPr>
    </w:p>
    <w:p w14:paraId="0E2CD1A6" w14:textId="5B3E02A0" w:rsidR="00BC2693" w:rsidRPr="00561DB0" w:rsidRDefault="00BC2693" w:rsidP="00BC2693">
      <w:pPr>
        <w:pStyle w:val="ListParagraph"/>
        <w:numPr>
          <w:ilvl w:val="0"/>
          <w:numId w:val="1"/>
        </w:numPr>
        <w:rPr>
          <w:rFonts w:ascii="Garamond" w:hAnsi="Garamond"/>
        </w:rPr>
      </w:pPr>
      <w:r w:rsidRPr="00561DB0">
        <w:rPr>
          <w:rFonts w:ascii="Garamond" w:hAnsi="Garamond"/>
          <w:b/>
        </w:rPr>
        <w:t>Process.</w:t>
      </w:r>
      <w:r w:rsidRPr="00561DB0">
        <w:rPr>
          <w:rFonts w:ascii="Garamond" w:hAnsi="Garamond"/>
        </w:rPr>
        <w:t xml:space="preserve"> The following units participate in the faculty review process</w:t>
      </w:r>
      <w:r w:rsidR="005D7D94">
        <w:rPr>
          <w:rFonts w:ascii="Garamond" w:hAnsi="Garamond"/>
        </w:rPr>
        <w:t xml:space="preserve"> for promotion and tenure</w:t>
      </w:r>
      <w:r w:rsidRPr="00561DB0">
        <w:rPr>
          <w:rFonts w:ascii="Garamond" w:hAnsi="Garamond"/>
        </w:rPr>
        <w:t>, with each unit giving due consideration to reviewing the recommendations and findings of all preceding units. Faculty within these units must strive to be objective in their professional judgment of colleagues</w:t>
      </w:r>
      <w:r w:rsidR="00397528">
        <w:rPr>
          <w:rFonts w:ascii="Garamond" w:hAnsi="Garamond"/>
        </w:rPr>
        <w:t>.</w:t>
      </w:r>
      <w:r w:rsidR="00397528" w:rsidRPr="00561DB0">
        <w:rPr>
          <w:rFonts w:ascii="Garamond" w:hAnsi="Garamond"/>
        </w:rPr>
        <w:t xml:space="preserve"> </w:t>
      </w:r>
      <w:r w:rsidR="00397528">
        <w:rPr>
          <w:rFonts w:ascii="Garamond" w:hAnsi="Garamond"/>
        </w:rPr>
        <w:t>E</w:t>
      </w:r>
      <w:r w:rsidRPr="00561DB0">
        <w:rPr>
          <w:rFonts w:ascii="Garamond" w:hAnsi="Garamond"/>
        </w:rPr>
        <w:t xml:space="preserve">ach unit </w:t>
      </w:r>
      <w:r w:rsidR="00397528">
        <w:rPr>
          <w:rFonts w:ascii="Garamond" w:hAnsi="Garamond"/>
        </w:rPr>
        <w:t xml:space="preserve">must </w:t>
      </w:r>
      <w:r w:rsidRPr="00561DB0">
        <w:rPr>
          <w:rFonts w:ascii="Garamond" w:hAnsi="Garamond"/>
        </w:rPr>
        <w:t xml:space="preserve">make an independent, fair, and equitable recommendation and provide a written rationale for decisions. In judging a </w:t>
      </w:r>
      <w:r w:rsidRPr="00561DB0">
        <w:rPr>
          <w:rFonts w:ascii="Garamond" w:hAnsi="Garamond"/>
        </w:rPr>
        <w:lastRenderedPageBreak/>
        <w:t>member’s performance, each unit abides by the criteria in these</w:t>
      </w:r>
      <w:r w:rsidR="0091357D">
        <w:rPr>
          <w:rFonts w:ascii="Garamond" w:hAnsi="Garamond"/>
        </w:rPr>
        <w:t xml:space="preserve"> college</w:t>
      </w:r>
      <w:r w:rsidRPr="00561DB0">
        <w:rPr>
          <w:rFonts w:ascii="Garamond" w:hAnsi="Garamond"/>
        </w:rPr>
        <w:t xml:space="preserve"> </w:t>
      </w:r>
      <w:r w:rsidR="005F7E65">
        <w:rPr>
          <w:rFonts w:ascii="Garamond" w:hAnsi="Garamond"/>
        </w:rPr>
        <w:t>elaborations</w:t>
      </w:r>
      <w:r w:rsidRPr="00561DB0">
        <w:rPr>
          <w:rFonts w:ascii="Garamond" w:hAnsi="Garamond"/>
        </w:rPr>
        <w:t xml:space="preserve"> and all approved departmental elaborations on those criteria. Prior to tenure, in the first and second probationary years only, the faculty member’s performance will not be reviewed by the UCAP or the President unless the dean recommends non-renewal. In the third year through the final tenure review, the candidate’s dossier will be evaluated by all the units listed below</w:t>
      </w:r>
      <w:r w:rsidR="00BD4439">
        <w:rPr>
          <w:rFonts w:ascii="Garamond" w:hAnsi="Garamond"/>
        </w:rPr>
        <w:t>:</w:t>
      </w:r>
      <w:r w:rsidRPr="00561DB0">
        <w:rPr>
          <w:rFonts w:ascii="Garamond" w:hAnsi="Garamond"/>
        </w:rPr>
        <w:t xml:space="preserve"> </w:t>
      </w:r>
    </w:p>
    <w:p w14:paraId="68739768" w14:textId="77777777" w:rsidR="00BC2693" w:rsidRPr="00561DB0" w:rsidRDefault="00BC2693" w:rsidP="00BC2693">
      <w:pPr>
        <w:pStyle w:val="ListParagraph"/>
        <w:rPr>
          <w:rFonts w:ascii="Garamond" w:hAnsi="Garamond"/>
        </w:rPr>
      </w:pPr>
    </w:p>
    <w:p w14:paraId="35846346" w14:textId="77777777" w:rsidR="00BC2693" w:rsidRPr="00561DB0" w:rsidRDefault="00BC2693" w:rsidP="00BC2693">
      <w:pPr>
        <w:pStyle w:val="ListParagraph"/>
        <w:numPr>
          <w:ilvl w:val="1"/>
          <w:numId w:val="7"/>
        </w:numPr>
        <w:rPr>
          <w:rFonts w:ascii="Garamond" w:hAnsi="Garamond"/>
        </w:rPr>
      </w:pPr>
      <w:r w:rsidRPr="00561DB0">
        <w:rPr>
          <w:rFonts w:ascii="Garamond" w:hAnsi="Garamond"/>
        </w:rPr>
        <w:t>Department Personnel Committee</w:t>
      </w:r>
    </w:p>
    <w:p w14:paraId="32E13CE3" w14:textId="77777777" w:rsidR="00BC2693" w:rsidRPr="00561DB0" w:rsidRDefault="00BC2693" w:rsidP="00BC2693">
      <w:pPr>
        <w:pStyle w:val="ListParagraph"/>
        <w:numPr>
          <w:ilvl w:val="1"/>
          <w:numId w:val="7"/>
        </w:numPr>
        <w:rPr>
          <w:rFonts w:ascii="Garamond" w:hAnsi="Garamond"/>
        </w:rPr>
      </w:pPr>
      <w:r w:rsidRPr="00561DB0">
        <w:rPr>
          <w:rFonts w:ascii="Garamond" w:hAnsi="Garamond"/>
        </w:rPr>
        <w:t>Department Chairperson</w:t>
      </w:r>
    </w:p>
    <w:p w14:paraId="05E99CBF" w14:textId="350C13E7" w:rsidR="00BC2693" w:rsidRPr="00561DB0" w:rsidRDefault="00BC2693" w:rsidP="00BC2693">
      <w:pPr>
        <w:pStyle w:val="ListParagraph"/>
        <w:numPr>
          <w:ilvl w:val="1"/>
          <w:numId w:val="7"/>
        </w:numPr>
        <w:rPr>
          <w:rFonts w:ascii="Garamond" w:hAnsi="Garamond"/>
        </w:rPr>
      </w:pPr>
      <w:r w:rsidRPr="00561DB0">
        <w:rPr>
          <w:rFonts w:ascii="Garamond" w:hAnsi="Garamond"/>
        </w:rPr>
        <w:t>College Committee on Academic Personnel</w:t>
      </w:r>
      <w:r w:rsidR="00E878BA">
        <w:rPr>
          <w:rFonts w:ascii="Garamond" w:hAnsi="Garamond"/>
        </w:rPr>
        <w:t xml:space="preserve"> or equivalent</w:t>
      </w:r>
    </w:p>
    <w:p w14:paraId="6E2EFB6A" w14:textId="77777777" w:rsidR="00BC2693" w:rsidRPr="00561DB0" w:rsidRDefault="00BC2693" w:rsidP="00BC2693">
      <w:pPr>
        <w:pStyle w:val="ListParagraph"/>
        <w:numPr>
          <w:ilvl w:val="1"/>
          <w:numId w:val="7"/>
        </w:numPr>
        <w:rPr>
          <w:rFonts w:ascii="Garamond" w:hAnsi="Garamond"/>
        </w:rPr>
      </w:pPr>
      <w:r w:rsidRPr="00561DB0">
        <w:rPr>
          <w:rFonts w:ascii="Garamond" w:hAnsi="Garamond"/>
        </w:rPr>
        <w:t>College Dean</w:t>
      </w:r>
    </w:p>
    <w:p w14:paraId="1B6FFBE9" w14:textId="04992654" w:rsidR="00BC2693" w:rsidRPr="00561DB0" w:rsidRDefault="00BC2693" w:rsidP="00BC2693">
      <w:pPr>
        <w:pStyle w:val="ListParagraph"/>
        <w:numPr>
          <w:ilvl w:val="1"/>
          <w:numId w:val="7"/>
        </w:numPr>
        <w:rPr>
          <w:rFonts w:ascii="Garamond" w:hAnsi="Garamond"/>
        </w:rPr>
      </w:pPr>
      <w:r w:rsidRPr="00561DB0">
        <w:rPr>
          <w:rFonts w:ascii="Garamond" w:hAnsi="Garamond"/>
        </w:rPr>
        <w:t xml:space="preserve">University Committee on Academic Personnel </w:t>
      </w:r>
    </w:p>
    <w:p w14:paraId="321FCA6D" w14:textId="77777777" w:rsidR="00BC2693" w:rsidRPr="00561DB0" w:rsidRDefault="00BC2693" w:rsidP="00BC2693">
      <w:pPr>
        <w:pStyle w:val="ListParagraph"/>
        <w:numPr>
          <w:ilvl w:val="1"/>
          <w:numId w:val="7"/>
        </w:numPr>
        <w:rPr>
          <w:rFonts w:ascii="Garamond" w:hAnsi="Garamond"/>
        </w:rPr>
      </w:pPr>
      <w:r w:rsidRPr="00561DB0">
        <w:rPr>
          <w:rFonts w:ascii="Garamond" w:hAnsi="Garamond"/>
        </w:rPr>
        <w:t>Provost</w:t>
      </w:r>
    </w:p>
    <w:p w14:paraId="08A57498" w14:textId="77777777" w:rsidR="00BC2693" w:rsidRPr="00561DB0" w:rsidRDefault="00BC2693" w:rsidP="00BC2693">
      <w:pPr>
        <w:pStyle w:val="ListParagraph"/>
        <w:numPr>
          <w:ilvl w:val="1"/>
          <w:numId w:val="7"/>
        </w:numPr>
        <w:rPr>
          <w:rFonts w:ascii="Garamond" w:hAnsi="Garamond"/>
        </w:rPr>
      </w:pPr>
      <w:r w:rsidRPr="00561DB0">
        <w:rPr>
          <w:rFonts w:ascii="Garamond" w:hAnsi="Garamond"/>
        </w:rPr>
        <w:t xml:space="preserve">President (excluding the </w:t>
      </w:r>
      <w:proofErr w:type="gramStart"/>
      <w:r w:rsidRPr="00561DB0">
        <w:rPr>
          <w:rFonts w:ascii="Garamond" w:hAnsi="Garamond"/>
        </w:rPr>
        <w:t>first and second year</w:t>
      </w:r>
      <w:proofErr w:type="gramEnd"/>
      <w:r w:rsidRPr="00561DB0">
        <w:rPr>
          <w:rFonts w:ascii="Garamond" w:hAnsi="Garamond"/>
        </w:rPr>
        <w:t xml:space="preserve"> pre-tenure review unless the dean recommends non-renewal)</w:t>
      </w:r>
    </w:p>
    <w:p w14:paraId="4E769926" w14:textId="77777777" w:rsidR="00BC2693" w:rsidRPr="00561DB0" w:rsidRDefault="00BC2693" w:rsidP="00BC2693">
      <w:pPr>
        <w:rPr>
          <w:rFonts w:ascii="Garamond" w:hAnsi="Garamond"/>
        </w:rPr>
      </w:pPr>
    </w:p>
    <w:p w14:paraId="36DE2DE8" w14:textId="77777777" w:rsidR="00BC2693" w:rsidRPr="00561DB0" w:rsidRDefault="00BC2693" w:rsidP="00BC2693">
      <w:pPr>
        <w:pStyle w:val="ListParagraph"/>
        <w:numPr>
          <w:ilvl w:val="0"/>
          <w:numId w:val="7"/>
        </w:numPr>
        <w:rPr>
          <w:rFonts w:ascii="Garamond" w:hAnsi="Garamond"/>
        </w:rPr>
      </w:pPr>
      <w:r w:rsidRPr="00561DB0">
        <w:rPr>
          <w:rFonts w:ascii="Garamond" w:hAnsi="Garamond"/>
          <w:b/>
        </w:rPr>
        <w:t>Purpose.</w:t>
      </w:r>
      <w:r w:rsidRPr="00561DB0">
        <w:rPr>
          <w:rFonts w:ascii="Garamond" w:hAnsi="Garamond"/>
        </w:rPr>
        <w:t xml:space="preserve"> The purpose of regular faculty review at the University of Toledo is threefold: (1) to provide feedback to candidates about their development and progress in each of the three categories, (2) to provide mentoring regarding how best to advance both the candidate’s goal of advancement in rank and tenure as well as the university’s educational mission with respect to the candidate’s academic assignment, and (3) to document and substantiate recommendations for tenure and promotion. All selected faculty evaluators are familiar with the candidate’s home institution, academic assignment, and mission, meaning that they can evaluate the candidate with a valuable understanding of the shared context and culture. At the same time, the faculty review process includes evaluators well outside the candidate’s home department and discipline, and therefore </w:t>
      </w:r>
      <w:r w:rsidRPr="00561DB0">
        <w:rPr>
          <w:rFonts w:ascii="Garamond" w:eastAsia="Times New Roman" w:hAnsi="Garamond" w:cs="Times New Roman"/>
        </w:rPr>
        <w:t xml:space="preserve">subjects the candidate’s performance to evaluation against broader professional standards. </w:t>
      </w:r>
      <w:r w:rsidRPr="00561DB0">
        <w:rPr>
          <w:rFonts w:ascii="Garamond" w:hAnsi="Garamond"/>
        </w:rPr>
        <w:t xml:space="preserve">By facilitating and encouraging a high level of professional effectiveness, regular faculty review is essential to the maintenance and continual improvement in quality and integrity of a university’s faculty. </w:t>
      </w:r>
    </w:p>
    <w:p w14:paraId="0493F4BA" w14:textId="77777777" w:rsidR="00BC2693" w:rsidRPr="00561DB0" w:rsidRDefault="00BC2693" w:rsidP="00BC2693">
      <w:pPr>
        <w:rPr>
          <w:rFonts w:ascii="Garamond" w:hAnsi="Garamond"/>
          <w:b/>
        </w:rPr>
      </w:pPr>
      <w:r w:rsidRPr="00561DB0">
        <w:rPr>
          <w:rFonts w:ascii="Garamond" w:hAnsi="Garamond"/>
        </w:rPr>
        <w:t xml:space="preserve"> </w:t>
      </w:r>
    </w:p>
    <w:p w14:paraId="3B203613" w14:textId="77777777" w:rsidR="00BC2693" w:rsidRPr="00561DB0" w:rsidRDefault="00BC2693" w:rsidP="00BC2693">
      <w:pPr>
        <w:ind w:firstLine="360"/>
        <w:rPr>
          <w:rFonts w:ascii="Garamond" w:hAnsi="Garamond"/>
          <w:b/>
          <w:sz w:val="32"/>
        </w:rPr>
      </w:pPr>
      <w:r w:rsidRPr="00561DB0">
        <w:rPr>
          <w:rFonts w:ascii="Garamond" w:hAnsi="Garamond"/>
          <w:b/>
          <w:sz w:val="32"/>
        </w:rPr>
        <w:t>2. External Reviews</w:t>
      </w:r>
    </w:p>
    <w:p w14:paraId="5DC73AB6" w14:textId="77777777" w:rsidR="00BC2693" w:rsidRPr="00561DB0" w:rsidRDefault="00BC2693" w:rsidP="00BC2693">
      <w:pPr>
        <w:rPr>
          <w:rFonts w:ascii="Garamond" w:hAnsi="Garamond"/>
          <w:b/>
        </w:rPr>
      </w:pPr>
    </w:p>
    <w:p w14:paraId="3F2440B8" w14:textId="3A2D2A00" w:rsidR="00BC2693" w:rsidRPr="00561DB0" w:rsidRDefault="00BC2693" w:rsidP="00BC2693">
      <w:pPr>
        <w:pStyle w:val="ListParagraph"/>
        <w:numPr>
          <w:ilvl w:val="0"/>
          <w:numId w:val="8"/>
        </w:numPr>
        <w:rPr>
          <w:rFonts w:ascii="Garamond" w:hAnsi="Garamond"/>
        </w:rPr>
      </w:pPr>
      <w:r w:rsidRPr="00561DB0">
        <w:rPr>
          <w:rFonts w:ascii="Garamond" w:hAnsi="Garamond"/>
          <w:b/>
        </w:rPr>
        <w:t xml:space="preserve">Definition. </w:t>
      </w:r>
      <w:r w:rsidRPr="00561DB0">
        <w:rPr>
          <w:rFonts w:ascii="Garamond" w:hAnsi="Garamond"/>
        </w:rPr>
        <w:t xml:space="preserve">External reviews of a candidate’s scholarly work (not teaching or service) are solicited for all tenure and promotion cases in a way that ensures the integrity of the evaluative process. An external review is an appraisal of a </w:t>
      </w:r>
      <w:r w:rsidRPr="00561DB0">
        <w:rPr>
          <w:rStyle w:val="tgc"/>
          <w:rFonts w:ascii="Garamond" w:eastAsia="Times New Roman" w:hAnsi="Garamond" w:cs="Times New Roman"/>
        </w:rPr>
        <w:t xml:space="preserve">candidate’s accomplishments and contributions to the field written by an evaluator specializing in the field at a </w:t>
      </w:r>
      <w:r w:rsidRPr="00561DB0">
        <w:rPr>
          <w:rFonts w:ascii="Garamond" w:eastAsia="Times New Roman" w:hAnsi="Garamond" w:cs="Times New Roman"/>
        </w:rPr>
        <w:t xml:space="preserve">peer institution or better (such as a Tier 1 Research Extensive University). The external reviewer is an expert in the candidate’s discipline but does not have a relationship of any significance with the candidate, otherwise known as an “arm’s length” evaluator. An arm’s length evaluator may have met a candidate at a conference, for example, but will not have had significant collaboration with the candidate. For an arm’s length review, letters </w:t>
      </w:r>
      <w:r>
        <w:rPr>
          <w:rFonts w:ascii="Garamond" w:eastAsia="Times New Roman" w:hAnsi="Garamond" w:cs="Times New Roman"/>
        </w:rPr>
        <w:t xml:space="preserve">must </w:t>
      </w:r>
      <w:r w:rsidRPr="00561DB0">
        <w:rPr>
          <w:rFonts w:ascii="Garamond" w:eastAsia="Times New Roman" w:hAnsi="Garamond" w:cs="Times New Roman"/>
        </w:rPr>
        <w:t xml:space="preserve">not be solicited from mentors, former professors, members of a candidate’s dissertation committee, former students, co-authors or individuals with whom the candidate has collaborated professionally, or individuals with a personal relationship to the candidate. If the candidate’s field is so narrow that external evaluators must be drawn from those with a close professional relationship, then the unit must include a justification that will appear in the candidate’s dossier to explain the exception to this policy, and such exceptions should be rare. Colleges and departments </w:t>
      </w:r>
      <w:r w:rsidR="005D4447">
        <w:rPr>
          <w:rFonts w:ascii="Garamond" w:eastAsia="Times New Roman" w:hAnsi="Garamond" w:cs="Times New Roman"/>
        </w:rPr>
        <w:t>will</w:t>
      </w:r>
      <w:r w:rsidR="005D4447" w:rsidRPr="00561DB0">
        <w:rPr>
          <w:rFonts w:ascii="Garamond" w:eastAsia="Times New Roman" w:hAnsi="Garamond" w:cs="Times New Roman"/>
        </w:rPr>
        <w:t xml:space="preserve"> </w:t>
      </w:r>
      <w:r w:rsidR="00AC0338">
        <w:rPr>
          <w:rFonts w:ascii="Garamond" w:eastAsia="Times New Roman" w:hAnsi="Garamond" w:cs="Times New Roman"/>
        </w:rPr>
        <w:t>ask</w:t>
      </w:r>
      <w:r w:rsidR="00AC0338" w:rsidRPr="00561DB0">
        <w:rPr>
          <w:rFonts w:ascii="Garamond" w:eastAsia="Times New Roman" w:hAnsi="Garamond" w:cs="Times New Roman"/>
        </w:rPr>
        <w:t xml:space="preserve"> </w:t>
      </w:r>
      <w:r w:rsidRPr="00561DB0">
        <w:rPr>
          <w:rFonts w:ascii="Garamond" w:eastAsia="Times New Roman" w:hAnsi="Garamond" w:cs="Times New Roman"/>
        </w:rPr>
        <w:t xml:space="preserve">external reviewers to describe their relationship with the candidate. </w:t>
      </w:r>
      <w:r w:rsidRPr="00561DB0">
        <w:rPr>
          <w:rFonts w:ascii="Garamond" w:hAnsi="Garamond"/>
        </w:rPr>
        <w:lastRenderedPageBreak/>
        <w:t xml:space="preserve">All </w:t>
      </w:r>
      <w:r w:rsidRPr="00561DB0">
        <w:rPr>
          <w:rFonts w:ascii="Garamond" w:eastAsia="Times New Roman" w:hAnsi="Garamond" w:cs="Times New Roman"/>
        </w:rPr>
        <w:t>external reviewers should hold at least the rank for which the candidate is being considered.</w:t>
      </w:r>
    </w:p>
    <w:p w14:paraId="6CD39C32" w14:textId="77777777" w:rsidR="00BC2693" w:rsidRPr="00561DB0" w:rsidRDefault="00BC2693" w:rsidP="00BC2693">
      <w:pPr>
        <w:pStyle w:val="ListParagraph"/>
        <w:rPr>
          <w:rFonts w:ascii="Garamond" w:hAnsi="Garamond"/>
        </w:rPr>
      </w:pPr>
    </w:p>
    <w:p w14:paraId="0D1C23B4" w14:textId="77777777" w:rsidR="00BC2693" w:rsidRPr="00ED55A3" w:rsidRDefault="00BC2693" w:rsidP="00BC2693">
      <w:pPr>
        <w:pStyle w:val="ListParagraph"/>
        <w:numPr>
          <w:ilvl w:val="0"/>
          <w:numId w:val="8"/>
        </w:numPr>
        <w:rPr>
          <w:rFonts w:ascii="Garamond" w:hAnsi="Garamond"/>
        </w:rPr>
      </w:pPr>
      <w:r w:rsidRPr="00ED55A3">
        <w:rPr>
          <w:rFonts w:ascii="Garamond" w:hAnsi="Garamond"/>
          <w:b/>
        </w:rPr>
        <w:t xml:space="preserve">Process. </w:t>
      </w:r>
      <w:r w:rsidRPr="00ED55A3">
        <w:rPr>
          <w:rFonts w:ascii="Garamond" w:hAnsi="Garamond"/>
        </w:rPr>
        <w:t>The department chair asks the faculty candidate to suggest a list of potential external reviewers, and the chair also creates a separate list of names independently. The chair selects names from either list and solicits evaluations until the required number of letters has been reached. Chairs must contact the evaluators directly, not via support staff and never through the faculty candidate, who should not solicit external letters.</w:t>
      </w:r>
    </w:p>
    <w:p w14:paraId="0B92557C" w14:textId="77777777" w:rsidR="00BC2693" w:rsidRPr="00561DB0" w:rsidRDefault="00BC2693" w:rsidP="00BC2693">
      <w:pPr>
        <w:pStyle w:val="ListParagraph"/>
        <w:rPr>
          <w:rFonts w:ascii="Garamond" w:hAnsi="Garamond"/>
        </w:rPr>
      </w:pPr>
    </w:p>
    <w:p w14:paraId="07E62628" w14:textId="0B2ECB9B" w:rsidR="00BC2693" w:rsidRPr="00561DB0" w:rsidRDefault="00BC2693" w:rsidP="00BC2693">
      <w:pPr>
        <w:pStyle w:val="ListParagraph"/>
        <w:numPr>
          <w:ilvl w:val="0"/>
          <w:numId w:val="8"/>
        </w:numPr>
        <w:rPr>
          <w:rFonts w:ascii="Garamond" w:hAnsi="Garamond"/>
        </w:rPr>
      </w:pPr>
      <w:r w:rsidRPr="00561DB0">
        <w:rPr>
          <w:rFonts w:ascii="Garamond" w:hAnsi="Garamond"/>
          <w:b/>
        </w:rPr>
        <w:t>Purpose.</w:t>
      </w:r>
      <w:r w:rsidRPr="00561DB0">
        <w:rPr>
          <w:rFonts w:ascii="Garamond" w:hAnsi="Garamond"/>
        </w:rPr>
        <w:t xml:space="preserve"> External evaluations are required for all tenure and promotion cases, and the relevant faculty committees use the letters to evaluate the candidate’s performance, particularly with respect to scholarship.</w:t>
      </w:r>
      <w:r w:rsidRPr="00561DB0">
        <w:rPr>
          <w:rFonts w:ascii="Garamond" w:hAnsi="Garamond"/>
          <w:b/>
        </w:rPr>
        <w:t xml:space="preserve"> </w:t>
      </w:r>
      <w:r w:rsidRPr="00561DB0">
        <w:rPr>
          <w:rFonts w:ascii="Garamond" w:hAnsi="Garamond"/>
        </w:rPr>
        <w:t xml:space="preserve">External reviewers offer an outside perspective on a candidate’s effectiveness, providing a fair, objective, and independent assessment of the candidate’s work and/or professional standing within a broader context. External reviewers place the candidate’s work in relation to national or international standards, commenting on how the candidate’s scholarship contributes to key questions or issues in the field. They typically discuss the quality of a candidate’s publication(s) as well as the quality of a candidate’s publication venue(s) (including whether or not the candidate has published with high caliber journals or strong presses or whether a particular publication appeared in a high caliber journal or a strong press). They may consider the relationship between quantity and quality of publications and usually offer an assessment of the candidate’s conference venues and any other public presentations of the candidate’s work. They may also comment on the candidate’s potential for future scholarship. </w:t>
      </w:r>
      <w:r w:rsidRPr="00170D0A">
        <w:rPr>
          <w:rFonts w:ascii="Garamond" w:hAnsi="Garamond"/>
        </w:rPr>
        <w:t>See Departmental elaborations for additional information about the role of external evaluations.</w:t>
      </w:r>
    </w:p>
    <w:p w14:paraId="2352712C" w14:textId="77777777" w:rsidR="00BC2693" w:rsidRPr="00561DB0" w:rsidRDefault="00BC2693" w:rsidP="00BC2693">
      <w:pPr>
        <w:rPr>
          <w:rFonts w:ascii="Garamond" w:hAnsi="Garamond"/>
          <w:b/>
        </w:rPr>
      </w:pPr>
    </w:p>
    <w:p w14:paraId="2CCC7802" w14:textId="1FBAB274" w:rsidR="00BC2693" w:rsidRPr="00561DB0" w:rsidRDefault="00BC2693" w:rsidP="00BC2693">
      <w:pPr>
        <w:pStyle w:val="ListParagraph"/>
        <w:numPr>
          <w:ilvl w:val="0"/>
          <w:numId w:val="8"/>
        </w:numPr>
        <w:rPr>
          <w:rFonts w:ascii="Garamond" w:hAnsi="Garamond"/>
          <w:b/>
        </w:rPr>
      </w:pPr>
      <w:r w:rsidRPr="00561DB0">
        <w:rPr>
          <w:rFonts w:ascii="Garamond" w:hAnsi="Garamond"/>
          <w:b/>
        </w:rPr>
        <w:t xml:space="preserve">Recommended number. </w:t>
      </w:r>
      <w:r w:rsidRPr="00561DB0">
        <w:rPr>
          <w:rFonts w:ascii="Garamond" w:hAnsi="Garamond"/>
        </w:rPr>
        <w:t xml:space="preserve">Candidates for tenure and promotion should present a minimum of three letters of external evaluation. </w:t>
      </w:r>
    </w:p>
    <w:p w14:paraId="3B24A218" w14:textId="77777777" w:rsidR="00BC2693" w:rsidRPr="00561DB0" w:rsidRDefault="00BC2693" w:rsidP="00BC2693">
      <w:pPr>
        <w:rPr>
          <w:rFonts w:ascii="Garamond" w:hAnsi="Garamond"/>
          <w:b/>
        </w:rPr>
      </w:pPr>
    </w:p>
    <w:p w14:paraId="076B437F" w14:textId="77777777" w:rsidR="00BC2693" w:rsidRPr="00170D0A" w:rsidRDefault="00BC2693" w:rsidP="00BC2693">
      <w:pPr>
        <w:rPr>
          <w:rFonts w:ascii="Garamond" w:hAnsi="Garamond"/>
          <w:b/>
          <w:sz w:val="36"/>
        </w:rPr>
      </w:pPr>
      <w:r w:rsidRPr="00561DB0">
        <w:rPr>
          <w:rFonts w:ascii="Garamond" w:hAnsi="Garamond"/>
          <w:b/>
          <w:sz w:val="36"/>
        </w:rPr>
        <w:t xml:space="preserve">C. </w:t>
      </w:r>
      <w:r w:rsidRPr="00170D0A">
        <w:rPr>
          <w:rFonts w:ascii="Garamond" w:hAnsi="Garamond"/>
          <w:b/>
          <w:sz w:val="36"/>
        </w:rPr>
        <w:t>Evidence</w:t>
      </w:r>
    </w:p>
    <w:p w14:paraId="39090B45" w14:textId="77777777" w:rsidR="00BC2693" w:rsidRPr="00C33848" w:rsidRDefault="00BC2693" w:rsidP="00BC2693">
      <w:pPr>
        <w:rPr>
          <w:rFonts w:ascii="Garamond" w:hAnsi="Garamond"/>
          <w:b/>
        </w:rPr>
      </w:pPr>
    </w:p>
    <w:p w14:paraId="24DCCB03" w14:textId="1FFB4723" w:rsidR="00087C31" w:rsidRPr="00087C31" w:rsidRDefault="00BC2693" w:rsidP="00087C31">
      <w:pPr>
        <w:pStyle w:val="ListParagraph"/>
        <w:numPr>
          <w:ilvl w:val="0"/>
          <w:numId w:val="9"/>
        </w:numPr>
        <w:rPr>
          <w:rFonts w:ascii="Garamond" w:hAnsi="Garamond"/>
        </w:rPr>
      </w:pPr>
      <w:r w:rsidRPr="00C33848">
        <w:rPr>
          <w:rFonts w:ascii="Garamond" w:hAnsi="Garamond"/>
        </w:rPr>
        <w:t>Candidates must provide evidence for their accomplishments</w:t>
      </w:r>
      <w:r w:rsidR="001C1E65">
        <w:rPr>
          <w:rFonts w:ascii="Garamond" w:hAnsi="Garamond"/>
        </w:rPr>
        <w:t xml:space="preserve"> consistent with university, college and departmental policies</w:t>
      </w:r>
      <w:r w:rsidR="003D4B50">
        <w:rPr>
          <w:rFonts w:ascii="Garamond" w:hAnsi="Garamond"/>
        </w:rPr>
        <w:t>.</w:t>
      </w:r>
      <w:r w:rsidR="00087C31" w:rsidRPr="00087C31">
        <w:rPr>
          <w:rFonts w:ascii="Garamond" w:hAnsi="Garamond"/>
        </w:rPr>
        <w:br w:type="page"/>
      </w:r>
    </w:p>
    <w:p w14:paraId="27C739B7" w14:textId="77777777" w:rsidR="00BC2693" w:rsidRPr="00561DB0" w:rsidRDefault="00BC2693" w:rsidP="00BC2693">
      <w:pPr>
        <w:rPr>
          <w:rFonts w:ascii="Garamond" w:hAnsi="Garamond"/>
          <w:b/>
          <w:sz w:val="40"/>
        </w:rPr>
      </w:pPr>
      <w:r>
        <w:rPr>
          <w:rFonts w:ascii="Garamond" w:hAnsi="Garamond"/>
          <w:b/>
          <w:sz w:val="40"/>
        </w:rPr>
        <w:lastRenderedPageBreak/>
        <w:t>III</w:t>
      </w:r>
      <w:r w:rsidRPr="00561DB0">
        <w:rPr>
          <w:rFonts w:ascii="Garamond" w:hAnsi="Garamond"/>
          <w:b/>
          <w:sz w:val="40"/>
        </w:rPr>
        <w:t>. CATEGORIES OF EVALUATION</w:t>
      </w:r>
    </w:p>
    <w:p w14:paraId="20FDDF99" w14:textId="77777777" w:rsidR="00BC2693" w:rsidRPr="00561DB0" w:rsidRDefault="00BC2693" w:rsidP="00BC2693">
      <w:pPr>
        <w:rPr>
          <w:rFonts w:ascii="Garamond" w:hAnsi="Garamond"/>
          <w:b/>
        </w:rPr>
      </w:pPr>
    </w:p>
    <w:p w14:paraId="4677BA50" w14:textId="77777777" w:rsidR="00BC2693" w:rsidRPr="00561DB0" w:rsidRDefault="00BC2693" w:rsidP="00BC2693">
      <w:pPr>
        <w:rPr>
          <w:rFonts w:ascii="Garamond" w:hAnsi="Garamond"/>
          <w:sz w:val="36"/>
        </w:rPr>
      </w:pPr>
      <w:r w:rsidRPr="00561DB0">
        <w:rPr>
          <w:rFonts w:ascii="Garamond" w:hAnsi="Garamond"/>
          <w:b/>
          <w:sz w:val="36"/>
        </w:rPr>
        <w:t>A. Teaching</w:t>
      </w:r>
    </w:p>
    <w:p w14:paraId="7A335EB5" w14:textId="77777777" w:rsidR="00BC2693" w:rsidRPr="00561DB0" w:rsidRDefault="00BC2693" w:rsidP="00BC2693">
      <w:pPr>
        <w:rPr>
          <w:rFonts w:ascii="Garamond" w:hAnsi="Garamond"/>
        </w:rPr>
      </w:pPr>
    </w:p>
    <w:p w14:paraId="1FC5492E" w14:textId="77777777" w:rsidR="00BC2693" w:rsidRPr="00561DB0" w:rsidRDefault="00BC2693" w:rsidP="00BC2693">
      <w:pPr>
        <w:ind w:firstLine="360"/>
        <w:rPr>
          <w:rFonts w:ascii="Garamond" w:hAnsi="Garamond"/>
          <w:sz w:val="32"/>
        </w:rPr>
      </w:pPr>
      <w:r w:rsidRPr="00561DB0">
        <w:rPr>
          <w:rFonts w:ascii="Garamond" w:hAnsi="Garamond"/>
          <w:b/>
          <w:sz w:val="32"/>
        </w:rPr>
        <w:t>1. Definition of Teaching</w:t>
      </w:r>
    </w:p>
    <w:p w14:paraId="6E953443" w14:textId="77777777" w:rsidR="00BC2693" w:rsidRPr="00561DB0" w:rsidRDefault="00BC2693" w:rsidP="00BC2693">
      <w:pPr>
        <w:rPr>
          <w:rFonts w:ascii="Garamond" w:hAnsi="Garamond"/>
        </w:rPr>
      </w:pPr>
    </w:p>
    <w:p w14:paraId="6D02E446" w14:textId="77777777" w:rsidR="00BC2693" w:rsidRPr="00561DB0" w:rsidRDefault="00BC2693" w:rsidP="00BC2693">
      <w:pPr>
        <w:pStyle w:val="ListParagraph"/>
        <w:numPr>
          <w:ilvl w:val="0"/>
          <w:numId w:val="5"/>
        </w:numPr>
        <w:rPr>
          <w:rFonts w:ascii="Garamond" w:hAnsi="Garamond"/>
        </w:rPr>
      </w:pPr>
      <w:r w:rsidRPr="00561DB0">
        <w:rPr>
          <w:rFonts w:ascii="Garamond" w:hAnsi="Garamond"/>
        </w:rPr>
        <w:t>Teaching is defined as the occupation or work of a teacher. It is a complex and challenging discipline that demands integrity and commitment.</w:t>
      </w:r>
    </w:p>
    <w:p w14:paraId="22FC4E0A" w14:textId="77777777" w:rsidR="00BC2693" w:rsidRPr="00561DB0" w:rsidRDefault="00BC2693" w:rsidP="00BC2693">
      <w:pPr>
        <w:pStyle w:val="ListParagraph"/>
        <w:rPr>
          <w:rFonts w:ascii="Garamond" w:hAnsi="Garamond"/>
        </w:rPr>
      </w:pPr>
    </w:p>
    <w:p w14:paraId="444A8BCE" w14:textId="5DD07A8E" w:rsidR="00BC2693" w:rsidRPr="00561DB0" w:rsidRDefault="00BC2693" w:rsidP="00BC2693">
      <w:pPr>
        <w:pStyle w:val="ListParagraph"/>
        <w:numPr>
          <w:ilvl w:val="0"/>
          <w:numId w:val="5"/>
        </w:numPr>
        <w:rPr>
          <w:rFonts w:ascii="Garamond" w:hAnsi="Garamond"/>
        </w:rPr>
      </w:pPr>
      <w:r w:rsidRPr="00561DB0">
        <w:rPr>
          <w:rFonts w:ascii="Garamond" w:hAnsi="Garamond"/>
        </w:rPr>
        <w:t>For tenure-track and tenured faculty, teaching usually involves being responsible for instruction in their courses</w:t>
      </w:r>
      <w:r w:rsidR="00011B7D">
        <w:rPr>
          <w:rFonts w:ascii="Garamond" w:hAnsi="Garamond"/>
        </w:rPr>
        <w:t xml:space="preserve"> or assigned teaching duties</w:t>
      </w:r>
      <w:r w:rsidRPr="00561DB0">
        <w:rPr>
          <w:rFonts w:ascii="Garamond" w:hAnsi="Garamond"/>
        </w:rPr>
        <w:t xml:space="preserve"> as well as numerous responsibilities beyond the classroom. Faculty contribute to meeting the course needs of their </w:t>
      </w:r>
      <w:proofErr w:type="spellStart"/>
      <w:r w:rsidRPr="00561DB0">
        <w:rPr>
          <w:rFonts w:ascii="Garamond" w:hAnsi="Garamond"/>
        </w:rPr>
        <w:t>department’s</w:t>
      </w:r>
      <w:proofErr w:type="spellEnd"/>
      <w:r w:rsidRPr="00561DB0">
        <w:rPr>
          <w:rFonts w:ascii="Garamond" w:hAnsi="Garamond"/>
        </w:rPr>
        <w:t xml:space="preserve">, college’s, and university’s respective curricula, engage in pedagogical practice and innovation, and assess student learning outcomes. They often serve as advisers and mentors in a variety of capacities, devoting considerable time to building meaningful and constructive relationships with students and directly supervising their research and scholarship in ways that advance their progress. </w:t>
      </w:r>
    </w:p>
    <w:p w14:paraId="7AE2442F" w14:textId="77777777" w:rsidR="00BC2693" w:rsidRPr="00561DB0" w:rsidRDefault="00BC2693" w:rsidP="00BC2693">
      <w:pPr>
        <w:pStyle w:val="ListParagraph"/>
        <w:rPr>
          <w:rFonts w:ascii="Garamond" w:hAnsi="Garamond"/>
        </w:rPr>
      </w:pPr>
    </w:p>
    <w:p w14:paraId="555EC3EC" w14:textId="77777777" w:rsidR="00BC2693" w:rsidRPr="00561DB0" w:rsidRDefault="00BC2693" w:rsidP="00BC2693">
      <w:pPr>
        <w:pStyle w:val="ListParagraph"/>
        <w:numPr>
          <w:ilvl w:val="0"/>
          <w:numId w:val="5"/>
        </w:numPr>
        <w:rPr>
          <w:rFonts w:ascii="Garamond" w:hAnsi="Garamond"/>
        </w:rPr>
      </w:pPr>
      <w:r w:rsidRPr="00561DB0">
        <w:rPr>
          <w:rFonts w:ascii="Garamond" w:hAnsi="Garamond"/>
        </w:rPr>
        <w:t xml:space="preserve">Because it can be accomplished effectively in so many different ways, teaching should always be considered in context and evaluated using multiple sources of information. </w:t>
      </w:r>
    </w:p>
    <w:p w14:paraId="2F8F1086" w14:textId="77777777" w:rsidR="00BC2693" w:rsidRPr="00561DB0" w:rsidRDefault="00BC2693" w:rsidP="00BC2693">
      <w:pPr>
        <w:rPr>
          <w:rFonts w:ascii="Garamond" w:hAnsi="Garamond"/>
        </w:rPr>
      </w:pPr>
    </w:p>
    <w:p w14:paraId="1E79ABB7" w14:textId="77777777" w:rsidR="00BC2693" w:rsidRPr="00561DB0" w:rsidRDefault="00BC2693" w:rsidP="00BC2693">
      <w:pPr>
        <w:ind w:firstLine="360"/>
        <w:rPr>
          <w:rFonts w:ascii="Garamond" w:hAnsi="Garamond"/>
          <w:sz w:val="32"/>
        </w:rPr>
      </w:pPr>
      <w:r w:rsidRPr="00561DB0">
        <w:rPr>
          <w:rFonts w:ascii="Garamond" w:hAnsi="Garamond"/>
          <w:b/>
          <w:sz w:val="32"/>
        </w:rPr>
        <w:t>2. Criteria for Evaluating Teaching</w:t>
      </w:r>
    </w:p>
    <w:p w14:paraId="3CBD4673" w14:textId="77777777" w:rsidR="00BC2693" w:rsidRPr="00561DB0" w:rsidRDefault="00BC2693" w:rsidP="00BC2693">
      <w:pPr>
        <w:rPr>
          <w:rFonts w:ascii="Garamond" w:hAnsi="Garamond"/>
        </w:rPr>
      </w:pPr>
    </w:p>
    <w:p w14:paraId="4B8734FF" w14:textId="62765317" w:rsidR="00C82391" w:rsidRPr="001C1E65" w:rsidRDefault="00C82391" w:rsidP="00BC2693">
      <w:pPr>
        <w:pStyle w:val="ListParagraph"/>
        <w:numPr>
          <w:ilvl w:val="0"/>
          <w:numId w:val="3"/>
        </w:numPr>
        <w:rPr>
          <w:rFonts w:ascii="Garamond" w:hAnsi="Garamond"/>
        </w:rPr>
      </w:pPr>
      <w:r>
        <w:rPr>
          <w:rFonts w:ascii="Garamond" w:hAnsi="Garamond"/>
          <w:b/>
        </w:rPr>
        <w:t>Excellence.</w:t>
      </w:r>
      <w:r>
        <w:rPr>
          <w:rFonts w:ascii="Garamond" w:hAnsi="Garamond"/>
        </w:rPr>
        <w:t xml:space="preserve"> Candidates for tenure and promotion </w:t>
      </w:r>
      <w:r w:rsidR="00E10AEE">
        <w:rPr>
          <w:rFonts w:ascii="Garamond" w:hAnsi="Garamond"/>
        </w:rPr>
        <w:t xml:space="preserve">in the College of Arts and Letters </w:t>
      </w:r>
      <w:r>
        <w:rPr>
          <w:rFonts w:ascii="Garamond" w:hAnsi="Garamond"/>
        </w:rPr>
        <w:t xml:space="preserve">should </w:t>
      </w:r>
      <w:r w:rsidR="00E10AEE">
        <w:rPr>
          <w:rFonts w:ascii="Garamond" w:hAnsi="Garamond"/>
        </w:rPr>
        <w:t>have a demonstrated teaching record of excellence. Excellence may be demonstrated in a variety of ways, including</w:t>
      </w:r>
      <w:r w:rsidR="00DE6ADB">
        <w:rPr>
          <w:rFonts w:ascii="Garamond" w:hAnsi="Garamond"/>
        </w:rPr>
        <w:t xml:space="preserve"> but not limited</w:t>
      </w:r>
      <w:r w:rsidR="00E10AEE">
        <w:rPr>
          <w:rFonts w:ascii="Garamond" w:hAnsi="Garamond"/>
        </w:rPr>
        <w:t xml:space="preserve"> pedagogical innovation, curriculum development</w:t>
      </w:r>
      <w:r w:rsidR="00DE6ADB">
        <w:rPr>
          <w:rFonts w:ascii="Garamond" w:hAnsi="Garamond"/>
        </w:rPr>
        <w:t xml:space="preserve">, or effective advising. </w:t>
      </w:r>
    </w:p>
    <w:p w14:paraId="073202C1" w14:textId="77777777" w:rsidR="00C82391" w:rsidRPr="001C1E65" w:rsidRDefault="00C82391" w:rsidP="001C1E65">
      <w:pPr>
        <w:pStyle w:val="ListParagraph"/>
        <w:rPr>
          <w:rFonts w:ascii="Garamond" w:hAnsi="Garamond"/>
        </w:rPr>
      </w:pPr>
    </w:p>
    <w:p w14:paraId="444481BE" w14:textId="603D81B3" w:rsidR="00BC2693" w:rsidRPr="00561DB0" w:rsidRDefault="00BC2693" w:rsidP="00BC2693">
      <w:pPr>
        <w:pStyle w:val="ListParagraph"/>
        <w:numPr>
          <w:ilvl w:val="0"/>
          <w:numId w:val="3"/>
        </w:numPr>
        <w:rPr>
          <w:rFonts w:ascii="Garamond" w:hAnsi="Garamond"/>
        </w:rPr>
      </w:pPr>
      <w:r w:rsidRPr="00561DB0">
        <w:rPr>
          <w:rFonts w:ascii="Garamond" w:hAnsi="Garamond"/>
          <w:b/>
        </w:rPr>
        <w:t xml:space="preserve">Assigned courses. </w:t>
      </w:r>
      <w:r w:rsidRPr="00561DB0">
        <w:rPr>
          <w:rFonts w:ascii="Garamond" w:hAnsi="Garamond"/>
        </w:rPr>
        <w:t xml:space="preserve">All candidates for tenure and promotion should demonstrate a record of teaching their assigned courses </w:t>
      </w:r>
      <w:r w:rsidR="00AC71D5">
        <w:rPr>
          <w:rFonts w:ascii="Garamond" w:hAnsi="Garamond"/>
        </w:rPr>
        <w:t>well</w:t>
      </w:r>
      <w:r w:rsidRPr="00561DB0">
        <w:rPr>
          <w:rFonts w:ascii="Garamond" w:hAnsi="Garamond"/>
        </w:rPr>
        <w:t xml:space="preserve">. </w:t>
      </w:r>
    </w:p>
    <w:p w14:paraId="1332394E" w14:textId="77777777" w:rsidR="00BC2693" w:rsidRPr="00561DB0" w:rsidRDefault="00BC2693" w:rsidP="00BC2693">
      <w:pPr>
        <w:pStyle w:val="ListParagraph"/>
        <w:rPr>
          <w:rFonts w:ascii="Garamond" w:hAnsi="Garamond"/>
        </w:rPr>
      </w:pPr>
    </w:p>
    <w:p w14:paraId="08CD32AA" w14:textId="0E7EED47" w:rsidR="00BC2693" w:rsidRPr="00561DB0" w:rsidRDefault="00BC2693" w:rsidP="00BC2693">
      <w:pPr>
        <w:pStyle w:val="ListParagraph"/>
        <w:numPr>
          <w:ilvl w:val="0"/>
          <w:numId w:val="3"/>
        </w:numPr>
        <w:rPr>
          <w:rFonts w:ascii="Garamond" w:hAnsi="Garamond"/>
        </w:rPr>
      </w:pPr>
      <w:r w:rsidRPr="00561DB0">
        <w:rPr>
          <w:rFonts w:ascii="Garamond" w:hAnsi="Garamond"/>
          <w:b/>
        </w:rPr>
        <w:t xml:space="preserve">Circumstances of a course. </w:t>
      </w:r>
      <w:r w:rsidRPr="00561DB0">
        <w:rPr>
          <w:rFonts w:ascii="Garamond" w:hAnsi="Garamond"/>
        </w:rPr>
        <w:t xml:space="preserve">As part of a comprehensive evaluation of a candidate’s teaching record, evaluators should consider the circumstances of particular courses. For instance, they could </w:t>
      </w:r>
      <w:proofErr w:type="gramStart"/>
      <w:r w:rsidRPr="00561DB0">
        <w:rPr>
          <w:rFonts w:ascii="Garamond" w:hAnsi="Garamond"/>
        </w:rPr>
        <w:t>take into account</w:t>
      </w:r>
      <w:proofErr w:type="gramEnd"/>
      <w:r w:rsidRPr="00561DB0">
        <w:rPr>
          <w:rFonts w:ascii="Garamond" w:hAnsi="Garamond"/>
        </w:rPr>
        <w:t xml:space="preserve"> whether or not the course is undergraduate or graduate level or involves new preparation for the faculty member, as is often the case for pre-</w:t>
      </w:r>
      <w:proofErr w:type="spellStart"/>
      <w:r w:rsidRPr="00561DB0">
        <w:rPr>
          <w:rFonts w:ascii="Garamond" w:hAnsi="Garamond"/>
        </w:rPr>
        <w:t>tenure</w:t>
      </w:r>
      <w:proofErr w:type="spellEnd"/>
      <w:r w:rsidRPr="00561DB0">
        <w:rPr>
          <w:rFonts w:ascii="Garamond" w:hAnsi="Garamond"/>
        </w:rPr>
        <w:t xml:space="preserve"> faculty. They might also consider whether or not the course is required, experimental, designed for the General Education curriculum or for majors, a writing- or research-intensive course, a revision of a preexisting course, a newly developed course, an independent study, a team-taught course, a course using technological mediation, or a course involving student productions in the arts. </w:t>
      </w:r>
    </w:p>
    <w:p w14:paraId="431D689E" w14:textId="77777777" w:rsidR="00BC2693" w:rsidRPr="00561DB0" w:rsidRDefault="00BC2693" w:rsidP="00BC2693">
      <w:pPr>
        <w:pStyle w:val="ListParagraph"/>
        <w:rPr>
          <w:rFonts w:ascii="Garamond" w:hAnsi="Garamond"/>
        </w:rPr>
      </w:pPr>
    </w:p>
    <w:p w14:paraId="5A434C77" w14:textId="3ACA4F15" w:rsidR="00BC2693" w:rsidRPr="00561DB0" w:rsidRDefault="00BC2693" w:rsidP="00BC2693">
      <w:pPr>
        <w:pStyle w:val="ListParagraph"/>
        <w:numPr>
          <w:ilvl w:val="0"/>
          <w:numId w:val="3"/>
        </w:numPr>
        <w:rPr>
          <w:rFonts w:ascii="Garamond" w:hAnsi="Garamond"/>
        </w:rPr>
      </w:pPr>
      <w:r w:rsidRPr="00561DB0">
        <w:rPr>
          <w:rFonts w:ascii="Garamond" w:hAnsi="Garamond"/>
          <w:b/>
        </w:rPr>
        <w:t xml:space="preserve">Range of courses taught. </w:t>
      </w:r>
      <w:r w:rsidRPr="00561DB0">
        <w:rPr>
          <w:rFonts w:ascii="Garamond" w:hAnsi="Garamond"/>
        </w:rPr>
        <w:t xml:space="preserve">Evaluators should </w:t>
      </w:r>
      <w:proofErr w:type="gramStart"/>
      <w:r w:rsidRPr="00561DB0">
        <w:rPr>
          <w:rFonts w:ascii="Garamond" w:hAnsi="Garamond"/>
        </w:rPr>
        <w:t>take into account</w:t>
      </w:r>
      <w:proofErr w:type="gramEnd"/>
      <w:r w:rsidRPr="00561DB0">
        <w:rPr>
          <w:rFonts w:ascii="Garamond" w:hAnsi="Garamond"/>
        </w:rPr>
        <w:t xml:space="preserve"> the range of courses taught. For instance, candidates in the Humanities, Social Sciences, and </w:t>
      </w:r>
      <w:r w:rsidR="001D0147">
        <w:rPr>
          <w:rFonts w:ascii="Garamond" w:hAnsi="Garamond"/>
        </w:rPr>
        <w:t xml:space="preserve">the Arts </w:t>
      </w:r>
      <w:r w:rsidRPr="00561DB0">
        <w:rPr>
          <w:rFonts w:ascii="Garamond" w:hAnsi="Garamond"/>
        </w:rPr>
        <w:t xml:space="preserve">might teach a combination of General Education courses, both lower and upper-level courses within the undergraduate major, and also graduate-level classes. </w:t>
      </w:r>
    </w:p>
    <w:p w14:paraId="62D94D9E" w14:textId="77777777" w:rsidR="00BC2693" w:rsidRPr="00561DB0" w:rsidRDefault="00BC2693" w:rsidP="00BC2693">
      <w:pPr>
        <w:pStyle w:val="ListParagraph"/>
        <w:rPr>
          <w:rFonts w:ascii="Garamond" w:hAnsi="Garamond"/>
        </w:rPr>
      </w:pPr>
    </w:p>
    <w:p w14:paraId="45837ED0" w14:textId="151A75B0" w:rsidR="00BC2693" w:rsidRPr="00561DB0" w:rsidRDefault="00BC2693" w:rsidP="00BC2693">
      <w:pPr>
        <w:pStyle w:val="ListParagraph"/>
        <w:numPr>
          <w:ilvl w:val="0"/>
          <w:numId w:val="4"/>
        </w:numPr>
        <w:rPr>
          <w:rFonts w:ascii="Garamond" w:hAnsi="Garamond"/>
        </w:rPr>
      </w:pPr>
      <w:r w:rsidRPr="00561DB0">
        <w:rPr>
          <w:rFonts w:ascii="Garamond" w:hAnsi="Garamond"/>
          <w:b/>
        </w:rPr>
        <w:t xml:space="preserve">Curriculum development. </w:t>
      </w:r>
      <w:r w:rsidRPr="00561DB0">
        <w:rPr>
          <w:rFonts w:ascii="Garamond" w:hAnsi="Garamond"/>
        </w:rPr>
        <w:t xml:space="preserve">All tenure-track and tenured faculty are required to maintain a high level of knowledge in their special field, and their course content should reflect advances in their disciplines. To respond to disciplinary advances, teachers </w:t>
      </w:r>
      <w:r w:rsidR="00BF61FC">
        <w:rPr>
          <w:rFonts w:ascii="Garamond" w:hAnsi="Garamond"/>
        </w:rPr>
        <w:t xml:space="preserve">in the College of Arts and Letters are expected to </w:t>
      </w:r>
      <w:r w:rsidRPr="00561DB0">
        <w:rPr>
          <w:rFonts w:ascii="Garamond" w:hAnsi="Garamond"/>
        </w:rPr>
        <w:t xml:space="preserve">revise regularly taught courses to reflect the latest developments in the field. </w:t>
      </w:r>
      <w:r w:rsidR="001B218D">
        <w:rPr>
          <w:rFonts w:ascii="Garamond" w:hAnsi="Garamond"/>
        </w:rPr>
        <w:t xml:space="preserve">The College of Arts and Letters also expects to see some evidence of </w:t>
      </w:r>
      <w:r w:rsidRPr="00561DB0">
        <w:rPr>
          <w:rFonts w:ascii="Garamond" w:hAnsi="Garamond"/>
        </w:rPr>
        <w:t>curricular innovation</w:t>
      </w:r>
      <w:r w:rsidR="001B218D">
        <w:rPr>
          <w:rFonts w:ascii="Garamond" w:hAnsi="Garamond"/>
        </w:rPr>
        <w:t xml:space="preserve"> that goes beyond course content</w:t>
      </w:r>
      <w:r w:rsidR="005D04DA">
        <w:rPr>
          <w:rFonts w:ascii="Garamond" w:hAnsi="Garamond"/>
        </w:rPr>
        <w:t xml:space="preserve">, such as </w:t>
      </w:r>
      <w:r w:rsidRPr="00561DB0">
        <w:rPr>
          <w:rFonts w:ascii="Garamond" w:hAnsi="Garamond"/>
        </w:rPr>
        <w:t>creating relationships between curricular and co-curricular activities that enhance student learning, developing new classes that advance the overall vision of their department, college, and university, or leading the department when it comes to making significant curricular revisions to their current program. Curricular innovation may also take the form of contributing in a substantial way to the creation of new programs or to the development of new pathways toward degree completion.</w:t>
      </w:r>
    </w:p>
    <w:p w14:paraId="60A4D84A" w14:textId="77777777" w:rsidR="00BC2693" w:rsidRPr="00561DB0" w:rsidRDefault="00BC2693" w:rsidP="00BC2693">
      <w:pPr>
        <w:pStyle w:val="ListParagraph"/>
        <w:rPr>
          <w:rFonts w:ascii="Garamond" w:hAnsi="Garamond"/>
        </w:rPr>
      </w:pPr>
    </w:p>
    <w:p w14:paraId="2F0A69D9" w14:textId="2AF5A8C8" w:rsidR="00BC2693" w:rsidRPr="00561DB0" w:rsidRDefault="00BC2693" w:rsidP="00BC2693">
      <w:pPr>
        <w:pStyle w:val="ListParagraph"/>
        <w:numPr>
          <w:ilvl w:val="0"/>
          <w:numId w:val="3"/>
        </w:numPr>
        <w:rPr>
          <w:rFonts w:ascii="Garamond" w:hAnsi="Garamond"/>
        </w:rPr>
      </w:pPr>
      <w:r w:rsidRPr="00561DB0">
        <w:rPr>
          <w:rFonts w:ascii="Garamond" w:hAnsi="Garamond"/>
          <w:b/>
        </w:rPr>
        <w:t xml:space="preserve">Pedagogical practice and innovation. </w:t>
      </w:r>
      <w:r w:rsidR="004062D9">
        <w:rPr>
          <w:rFonts w:ascii="Garamond" w:hAnsi="Garamond"/>
        </w:rPr>
        <w:t xml:space="preserve">Teachers in the College of Arts and Letters are held to a high standard and should demonstrate a high level of proficiency </w:t>
      </w:r>
      <w:r w:rsidRPr="00561DB0">
        <w:rPr>
          <w:rFonts w:ascii="Garamond" w:hAnsi="Garamond"/>
        </w:rPr>
        <w:t xml:space="preserve">in </w:t>
      </w:r>
      <w:r w:rsidR="004062D9">
        <w:rPr>
          <w:rFonts w:ascii="Garamond" w:hAnsi="Garamond"/>
        </w:rPr>
        <w:t xml:space="preserve">the </w:t>
      </w:r>
      <w:r w:rsidR="0023272D">
        <w:rPr>
          <w:rFonts w:ascii="Garamond" w:hAnsi="Garamond"/>
        </w:rPr>
        <w:t>established</w:t>
      </w:r>
      <w:r w:rsidRPr="00561DB0">
        <w:rPr>
          <w:rFonts w:ascii="Garamond" w:hAnsi="Garamond"/>
        </w:rPr>
        <w:t xml:space="preserve"> modes of instruction </w:t>
      </w:r>
      <w:r w:rsidR="0023272D">
        <w:rPr>
          <w:rFonts w:ascii="Garamond" w:hAnsi="Garamond"/>
        </w:rPr>
        <w:t>within</w:t>
      </w:r>
      <w:r w:rsidRPr="00561DB0">
        <w:rPr>
          <w:rFonts w:ascii="Garamond" w:hAnsi="Garamond"/>
        </w:rPr>
        <w:t xml:space="preserve"> the</w:t>
      </w:r>
      <w:r w:rsidR="004062D9">
        <w:rPr>
          <w:rFonts w:ascii="Garamond" w:hAnsi="Garamond"/>
        </w:rPr>
        <w:t>ir</w:t>
      </w:r>
      <w:r w:rsidRPr="00561DB0">
        <w:rPr>
          <w:rFonts w:ascii="Garamond" w:hAnsi="Garamond"/>
        </w:rPr>
        <w:t xml:space="preserve"> discipline</w:t>
      </w:r>
      <w:r w:rsidR="0023272D">
        <w:rPr>
          <w:rFonts w:ascii="Garamond" w:hAnsi="Garamond"/>
        </w:rPr>
        <w:t>s</w:t>
      </w:r>
      <w:r w:rsidR="004062D9">
        <w:rPr>
          <w:rFonts w:ascii="Garamond" w:hAnsi="Garamond"/>
        </w:rPr>
        <w:t xml:space="preserve">. </w:t>
      </w:r>
      <w:r w:rsidRPr="00561DB0">
        <w:rPr>
          <w:rFonts w:ascii="Garamond" w:hAnsi="Garamond"/>
        </w:rPr>
        <w:t xml:space="preserve">All teachers </w:t>
      </w:r>
      <w:r w:rsidR="004062D9">
        <w:rPr>
          <w:rFonts w:ascii="Garamond" w:hAnsi="Garamond"/>
        </w:rPr>
        <w:t xml:space="preserve">in the College </w:t>
      </w:r>
      <w:r w:rsidRPr="00561DB0">
        <w:rPr>
          <w:rFonts w:ascii="Garamond" w:hAnsi="Garamond"/>
        </w:rPr>
        <w:t xml:space="preserve">are </w:t>
      </w:r>
      <w:r w:rsidR="004062D9">
        <w:rPr>
          <w:rFonts w:ascii="Garamond" w:hAnsi="Garamond"/>
        </w:rPr>
        <w:t xml:space="preserve">expected to teach their classes with </w:t>
      </w:r>
      <w:r w:rsidR="0023272D">
        <w:rPr>
          <w:rFonts w:ascii="Garamond" w:hAnsi="Garamond"/>
        </w:rPr>
        <w:t xml:space="preserve">attention to detail and </w:t>
      </w:r>
      <w:r w:rsidR="004062D9">
        <w:rPr>
          <w:rFonts w:ascii="Garamond" w:hAnsi="Garamond"/>
        </w:rPr>
        <w:t xml:space="preserve">care </w:t>
      </w:r>
      <w:r w:rsidR="0023272D">
        <w:rPr>
          <w:rFonts w:ascii="Garamond" w:hAnsi="Garamond"/>
        </w:rPr>
        <w:t>for the quality of the students’ learning experience</w:t>
      </w:r>
      <w:r w:rsidR="004062D9">
        <w:rPr>
          <w:rFonts w:ascii="Garamond" w:hAnsi="Garamond"/>
        </w:rPr>
        <w:t xml:space="preserve">. </w:t>
      </w:r>
      <w:r w:rsidRPr="00561DB0">
        <w:rPr>
          <w:rFonts w:ascii="Garamond" w:hAnsi="Garamond"/>
        </w:rPr>
        <w:t xml:space="preserve">If problems are identified through direct classroom observations or performance evaluations, candidates should show that they have </w:t>
      </w:r>
      <w:r w:rsidR="00A711E6" w:rsidRPr="00561DB0">
        <w:rPr>
          <w:rFonts w:ascii="Garamond" w:hAnsi="Garamond"/>
        </w:rPr>
        <w:t>acted</w:t>
      </w:r>
      <w:r w:rsidRPr="00561DB0">
        <w:rPr>
          <w:rFonts w:ascii="Garamond" w:hAnsi="Garamond"/>
        </w:rPr>
        <w:t xml:space="preserve"> to address them, using whatever support is available and documenting their efforts to improve. Particularly effective teachers tend to be flexible and responsive, with a high degree of self-awareness. They can articulate their teaching philosophy in writing and often experiment with varied or new pedagogical approaches to find better ways for students to learn. They reflect critically upon their successes or failures, documenting what they have learned from their experiences as well as the positive results of their pedagogy on student learning.</w:t>
      </w:r>
    </w:p>
    <w:p w14:paraId="3D8B70F1" w14:textId="77777777" w:rsidR="00BC2693" w:rsidRPr="00561DB0" w:rsidRDefault="00BC2693" w:rsidP="00BC2693">
      <w:pPr>
        <w:pStyle w:val="ListParagraph"/>
        <w:rPr>
          <w:rFonts w:ascii="Garamond" w:hAnsi="Garamond"/>
        </w:rPr>
      </w:pPr>
    </w:p>
    <w:p w14:paraId="29788F7D" w14:textId="7E712DF8" w:rsidR="00BC2693" w:rsidRPr="00561DB0" w:rsidRDefault="00BC2693" w:rsidP="00BC2693">
      <w:pPr>
        <w:pStyle w:val="ListParagraph"/>
        <w:numPr>
          <w:ilvl w:val="0"/>
          <w:numId w:val="3"/>
        </w:numPr>
        <w:rPr>
          <w:rFonts w:ascii="Garamond" w:hAnsi="Garamond"/>
        </w:rPr>
      </w:pPr>
      <w:r w:rsidRPr="00561DB0">
        <w:rPr>
          <w:rFonts w:ascii="Garamond" w:hAnsi="Garamond"/>
          <w:b/>
        </w:rPr>
        <w:t>Advising.</w:t>
      </w:r>
      <w:r w:rsidRPr="00561DB0">
        <w:rPr>
          <w:rFonts w:ascii="Garamond" w:hAnsi="Garamond"/>
        </w:rPr>
        <w:t xml:space="preserve"> Faculty advisors </w:t>
      </w:r>
      <w:r w:rsidR="004062D9">
        <w:rPr>
          <w:rFonts w:ascii="Garamond" w:hAnsi="Garamond"/>
        </w:rPr>
        <w:t xml:space="preserve">in the College of Arts and Letters </w:t>
      </w:r>
      <w:r w:rsidRPr="00561DB0">
        <w:rPr>
          <w:rFonts w:ascii="Garamond" w:hAnsi="Garamond"/>
        </w:rPr>
        <w:t xml:space="preserve">fulfill a crucial purpose that staff advisors cannot because of their disciplinary perspective, their teaching experience, and their membership within the department of a student’s major. </w:t>
      </w:r>
      <w:r w:rsidR="004062D9">
        <w:rPr>
          <w:rFonts w:ascii="Garamond" w:hAnsi="Garamond"/>
        </w:rPr>
        <w:t>T</w:t>
      </w:r>
      <w:r w:rsidRPr="00561DB0">
        <w:rPr>
          <w:rFonts w:ascii="Garamond" w:hAnsi="Garamond"/>
        </w:rPr>
        <w:t xml:space="preserve">he purpose of faculty advising is not </w:t>
      </w:r>
      <w:r w:rsidR="00B05790">
        <w:rPr>
          <w:rFonts w:ascii="Garamond" w:hAnsi="Garamond"/>
        </w:rPr>
        <w:t>only</w:t>
      </w:r>
      <w:r w:rsidR="00B05790" w:rsidRPr="00561DB0">
        <w:rPr>
          <w:rFonts w:ascii="Garamond" w:hAnsi="Garamond"/>
        </w:rPr>
        <w:t xml:space="preserve"> </w:t>
      </w:r>
      <w:r w:rsidRPr="00561DB0">
        <w:rPr>
          <w:rFonts w:ascii="Garamond" w:hAnsi="Garamond"/>
        </w:rPr>
        <w:t>to communicate what the requirements are</w:t>
      </w:r>
      <w:r w:rsidR="00B05790">
        <w:rPr>
          <w:rFonts w:ascii="Garamond" w:hAnsi="Garamond"/>
        </w:rPr>
        <w:t>,</w:t>
      </w:r>
      <w:r w:rsidRPr="00561DB0">
        <w:rPr>
          <w:rFonts w:ascii="Garamond" w:hAnsi="Garamond"/>
        </w:rPr>
        <w:t xml:space="preserve"> but also to convey a professor’s expertise in the discipline</w:t>
      </w:r>
      <w:r w:rsidR="00B05790">
        <w:rPr>
          <w:rFonts w:ascii="Garamond" w:hAnsi="Garamond"/>
        </w:rPr>
        <w:t>,</w:t>
      </w:r>
      <w:r w:rsidRPr="00561DB0">
        <w:rPr>
          <w:rFonts w:ascii="Garamond" w:hAnsi="Garamond"/>
        </w:rPr>
        <w:t xml:space="preserve"> and </w:t>
      </w:r>
      <w:r w:rsidR="00B05790">
        <w:rPr>
          <w:rFonts w:ascii="Garamond" w:hAnsi="Garamond"/>
        </w:rPr>
        <w:t>to help students navigate their way toward completion of</w:t>
      </w:r>
      <w:r w:rsidRPr="00561DB0">
        <w:rPr>
          <w:rFonts w:ascii="Garamond" w:hAnsi="Garamond"/>
        </w:rPr>
        <w:t xml:space="preserve"> the major, </w:t>
      </w:r>
      <w:r w:rsidR="00B05790">
        <w:rPr>
          <w:rFonts w:ascii="Garamond" w:hAnsi="Garamond"/>
        </w:rPr>
        <w:t xml:space="preserve">and to </w:t>
      </w:r>
      <w:r w:rsidRPr="00561DB0">
        <w:rPr>
          <w:rFonts w:ascii="Garamond" w:hAnsi="Garamond"/>
        </w:rPr>
        <w:t>provid</w:t>
      </w:r>
      <w:r w:rsidR="00B05790">
        <w:rPr>
          <w:rFonts w:ascii="Garamond" w:hAnsi="Garamond"/>
        </w:rPr>
        <w:t>e</w:t>
      </w:r>
      <w:r w:rsidR="00A711E6">
        <w:rPr>
          <w:rFonts w:ascii="Garamond" w:hAnsi="Garamond"/>
        </w:rPr>
        <w:t xml:space="preserve"> </w:t>
      </w:r>
      <w:r w:rsidRPr="00561DB0">
        <w:rPr>
          <w:rFonts w:ascii="Garamond" w:hAnsi="Garamond"/>
        </w:rPr>
        <w:t>students with accurate information and clear but flexible recommendations regarding university, college, and major requirements. In addition, advisors often consult closely with other faculty in order to be able to communicate the department’s pedagogical goals to students, along with the role of specific major requirements within the curriculum and the broader discipline. Advisers frequently engage in a continuing discussion of a student’s future, including graduate</w:t>
      </w:r>
      <w:r w:rsidR="00B05790">
        <w:rPr>
          <w:rFonts w:ascii="Garamond" w:hAnsi="Garamond"/>
        </w:rPr>
        <w:t>/</w:t>
      </w:r>
      <w:r w:rsidRPr="00561DB0">
        <w:rPr>
          <w:rFonts w:ascii="Garamond" w:hAnsi="Garamond"/>
        </w:rPr>
        <w:t>professional school and career options</w:t>
      </w:r>
      <w:r w:rsidR="00B05790">
        <w:rPr>
          <w:rFonts w:ascii="Garamond" w:hAnsi="Garamond"/>
        </w:rPr>
        <w:t>.</w:t>
      </w:r>
      <w:r w:rsidR="00B05790" w:rsidRPr="00561DB0">
        <w:rPr>
          <w:rFonts w:ascii="Garamond" w:hAnsi="Garamond"/>
        </w:rPr>
        <w:t xml:space="preserve"> </w:t>
      </w:r>
      <w:r w:rsidR="00B05790">
        <w:rPr>
          <w:rFonts w:ascii="Garamond" w:hAnsi="Garamond"/>
        </w:rPr>
        <w:t>They also</w:t>
      </w:r>
      <w:r w:rsidRPr="00561DB0">
        <w:rPr>
          <w:rFonts w:ascii="Garamond" w:hAnsi="Garamond"/>
        </w:rPr>
        <w:t xml:space="preserve"> discuss educational or career opportunities in fields both within and outside of the advisor’s own discipline. Finally, advisors traditionally have sufficient awareness of university structures and policies to make immediate and helpful referrals regarding issues they might not be able to address themselves, such as scholarships or financial aid, counseling, Title VI and Title IX complaints, student conduct issues, and residential issues.</w:t>
      </w:r>
    </w:p>
    <w:p w14:paraId="11258242" w14:textId="77777777" w:rsidR="00BC2693" w:rsidRPr="00561DB0" w:rsidRDefault="00BC2693" w:rsidP="00BC2693">
      <w:pPr>
        <w:pStyle w:val="ListParagraph"/>
        <w:rPr>
          <w:rFonts w:ascii="Garamond" w:hAnsi="Garamond"/>
        </w:rPr>
      </w:pPr>
    </w:p>
    <w:p w14:paraId="6702DB44" w14:textId="3EC4E09D" w:rsidR="00BC2693" w:rsidRPr="00561DB0" w:rsidRDefault="00BC2693" w:rsidP="00BC2693">
      <w:pPr>
        <w:pStyle w:val="ListParagraph"/>
        <w:numPr>
          <w:ilvl w:val="0"/>
          <w:numId w:val="3"/>
        </w:numPr>
        <w:rPr>
          <w:rFonts w:ascii="Garamond" w:hAnsi="Garamond"/>
        </w:rPr>
      </w:pPr>
      <w:r w:rsidRPr="00561DB0">
        <w:rPr>
          <w:rFonts w:ascii="Garamond" w:hAnsi="Garamond"/>
          <w:b/>
        </w:rPr>
        <w:t>Mentorship.</w:t>
      </w:r>
      <w:r w:rsidRPr="00561DB0">
        <w:rPr>
          <w:rFonts w:ascii="Garamond" w:hAnsi="Garamond"/>
        </w:rPr>
        <w:t xml:space="preserve"> Mentoring students can be both formal and informal, and evaluators should </w:t>
      </w:r>
      <w:proofErr w:type="gramStart"/>
      <w:r w:rsidRPr="00561DB0">
        <w:rPr>
          <w:rFonts w:ascii="Garamond" w:hAnsi="Garamond"/>
        </w:rPr>
        <w:t>take into account</w:t>
      </w:r>
      <w:proofErr w:type="gramEnd"/>
      <w:r w:rsidRPr="00561DB0">
        <w:rPr>
          <w:rFonts w:ascii="Garamond" w:hAnsi="Garamond"/>
        </w:rPr>
        <w:t xml:space="preserve"> evidence of mentorship both in relation to the candidate’s teaching load </w:t>
      </w:r>
      <w:r w:rsidRPr="00561DB0">
        <w:rPr>
          <w:rFonts w:ascii="Garamond" w:hAnsi="Garamond"/>
        </w:rPr>
        <w:lastRenderedPageBreak/>
        <w:t>(including student conference hours associated with classes) as well as outside of it. Mentorship can involve supervising the research, scholarship, and clinical experiences of both undergraduates and graduate students. This supervision may include providing students support with research activity, grant writing, conference presentations, publication as well as serving as the primary adviser on a student’s thesis. Mentoring graduate students in particular involves a long-term commitment to advancing a student’s career and professional goals, which means not only supporting the development of their professional skills but also helping them to transition into the professional networks that will further their development in the field. The demands for mentorship are often particularly high for minority faculty, and evaluators are encouraged to consider the ways in which minority faculty may be asked to serve as role models for students and to provide support on a number of different levels.</w:t>
      </w:r>
    </w:p>
    <w:p w14:paraId="73A2AFDE" w14:textId="77777777" w:rsidR="00BC2693" w:rsidRPr="00561DB0" w:rsidRDefault="00BC2693" w:rsidP="00BC2693">
      <w:pPr>
        <w:pStyle w:val="ListParagraph"/>
        <w:rPr>
          <w:rFonts w:ascii="Garamond" w:hAnsi="Garamond"/>
        </w:rPr>
      </w:pPr>
    </w:p>
    <w:p w14:paraId="4341D4A1" w14:textId="09935B50" w:rsidR="00BC2693" w:rsidRPr="00561DB0" w:rsidRDefault="00BC2693" w:rsidP="00BC2693">
      <w:pPr>
        <w:pStyle w:val="ListParagraph"/>
        <w:numPr>
          <w:ilvl w:val="0"/>
          <w:numId w:val="3"/>
        </w:numPr>
        <w:rPr>
          <w:rFonts w:ascii="Garamond" w:hAnsi="Garamond"/>
        </w:rPr>
      </w:pPr>
      <w:r w:rsidRPr="00561DB0">
        <w:rPr>
          <w:rFonts w:ascii="Garamond" w:hAnsi="Garamond"/>
          <w:b/>
        </w:rPr>
        <w:t xml:space="preserve">Professionalism. </w:t>
      </w:r>
      <w:r w:rsidRPr="00561DB0">
        <w:rPr>
          <w:rFonts w:ascii="Garamond" w:hAnsi="Garamond"/>
        </w:rPr>
        <w:t>Teaching demands the highest commitment to ethical conduct and professional integrity. Teachers should demonstrate respect for students as individuals at all times and adhere to their proper roles as intellectual guides and counselors. They avoid any exploitation, harassment, or discriminatory treatment of students.</w:t>
      </w:r>
      <w:r w:rsidR="00246A55">
        <w:rPr>
          <w:rFonts w:ascii="Garamond" w:hAnsi="Garamond"/>
        </w:rPr>
        <w:t xml:space="preserve"> </w:t>
      </w:r>
    </w:p>
    <w:p w14:paraId="4F86FD6D" w14:textId="77777777" w:rsidR="00BC2693" w:rsidRPr="00561DB0" w:rsidRDefault="00BC2693" w:rsidP="00BC2693">
      <w:pPr>
        <w:pStyle w:val="ListParagraph"/>
        <w:rPr>
          <w:rFonts w:ascii="Garamond" w:hAnsi="Garamond"/>
        </w:rPr>
      </w:pPr>
    </w:p>
    <w:p w14:paraId="08B52FBE" w14:textId="77777777" w:rsidR="00BC2693" w:rsidRPr="00561DB0" w:rsidRDefault="00BC2693" w:rsidP="00BC2693">
      <w:pPr>
        <w:pStyle w:val="ListParagraph"/>
        <w:numPr>
          <w:ilvl w:val="0"/>
          <w:numId w:val="3"/>
        </w:numPr>
        <w:rPr>
          <w:rFonts w:ascii="Garamond" w:hAnsi="Garamond"/>
          <w:b/>
        </w:rPr>
      </w:pPr>
      <w:r w:rsidRPr="00561DB0">
        <w:rPr>
          <w:rFonts w:ascii="Garamond" w:hAnsi="Garamond"/>
          <w:b/>
        </w:rPr>
        <w:t xml:space="preserve">Recognition or awards for teaching and advising. </w:t>
      </w:r>
      <w:r w:rsidRPr="00561DB0">
        <w:rPr>
          <w:rFonts w:ascii="Garamond" w:hAnsi="Garamond"/>
        </w:rPr>
        <w:t xml:space="preserve">Evaluators should </w:t>
      </w:r>
      <w:proofErr w:type="gramStart"/>
      <w:r w:rsidRPr="00561DB0">
        <w:rPr>
          <w:rFonts w:ascii="Garamond" w:hAnsi="Garamond"/>
        </w:rPr>
        <w:t>take into account</w:t>
      </w:r>
      <w:proofErr w:type="gramEnd"/>
      <w:r w:rsidRPr="00561DB0">
        <w:rPr>
          <w:rFonts w:ascii="Garamond" w:hAnsi="Garamond"/>
        </w:rPr>
        <w:t xml:space="preserve"> whether or not a teacher has been asked to mentor other teachers, received local or national awards for teaching, or has otherwise been recognized for teaching or advising excellence.</w:t>
      </w:r>
    </w:p>
    <w:p w14:paraId="29F54A24" w14:textId="77777777" w:rsidR="00BC2693" w:rsidRPr="00561DB0" w:rsidRDefault="00BC2693" w:rsidP="00BC2693">
      <w:pPr>
        <w:rPr>
          <w:rFonts w:ascii="Garamond" w:hAnsi="Garamond"/>
        </w:rPr>
      </w:pPr>
    </w:p>
    <w:p w14:paraId="422A10CF" w14:textId="77777777" w:rsidR="00BC2693" w:rsidRPr="00561DB0" w:rsidRDefault="00BC2693" w:rsidP="00BC2693">
      <w:pPr>
        <w:rPr>
          <w:rFonts w:ascii="Garamond" w:hAnsi="Garamond"/>
          <w:sz w:val="36"/>
          <w:szCs w:val="36"/>
        </w:rPr>
      </w:pPr>
      <w:r w:rsidRPr="00561DB0">
        <w:rPr>
          <w:rFonts w:ascii="Garamond" w:hAnsi="Garamond"/>
          <w:b/>
          <w:sz w:val="36"/>
          <w:szCs w:val="36"/>
        </w:rPr>
        <w:t>B. Professional Activity (Research, Scholarship, Creative Activity)</w:t>
      </w:r>
    </w:p>
    <w:p w14:paraId="62D3A4D9" w14:textId="77777777" w:rsidR="00BC2693" w:rsidRPr="00561DB0" w:rsidRDefault="00BC2693" w:rsidP="00BC2693">
      <w:pPr>
        <w:rPr>
          <w:rFonts w:ascii="Garamond" w:hAnsi="Garamond"/>
        </w:rPr>
      </w:pPr>
    </w:p>
    <w:p w14:paraId="6C67F5E4" w14:textId="77777777" w:rsidR="00BC2693" w:rsidRPr="00561DB0" w:rsidRDefault="00BC2693" w:rsidP="00BC2693">
      <w:pPr>
        <w:ind w:left="360"/>
        <w:rPr>
          <w:rFonts w:ascii="Garamond" w:hAnsi="Garamond"/>
          <w:sz w:val="32"/>
        </w:rPr>
      </w:pPr>
      <w:r w:rsidRPr="00561DB0">
        <w:rPr>
          <w:rFonts w:ascii="Garamond" w:hAnsi="Garamond"/>
          <w:b/>
          <w:sz w:val="32"/>
        </w:rPr>
        <w:t>1. Definition of Professional Activity (Research, Scholarship, Creative Activity)</w:t>
      </w:r>
    </w:p>
    <w:p w14:paraId="6B511C98" w14:textId="77777777" w:rsidR="00BC2693" w:rsidRPr="00561DB0" w:rsidRDefault="00BC2693" w:rsidP="00BC2693">
      <w:pPr>
        <w:pStyle w:val="ListParagraph"/>
        <w:rPr>
          <w:rFonts w:ascii="Garamond" w:hAnsi="Garamond"/>
        </w:rPr>
      </w:pPr>
    </w:p>
    <w:p w14:paraId="21C2DB4C" w14:textId="531CD646" w:rsidR="00BC2693" w:rsidRPr="00561DB0" w:rsidRDefault="00BC2693" w:rsidP="00BC2693">
      <w:pPr>
        <w:pStyle w:val="ListParagraph"/>
        <w:numPr>
          <w:ilvl w:val="0"/>
          <w:numId w:val="10"/>
        </w:numPr>
        <w:rPr>
          <w:rFonts w:ascii="Garamond" w:hAnsi="Garamond"/>
        </w:rPr>
      </w:pPr>
      <w:r w:rsidRPr="00561DB0">
        <w:rPr>
          <w:rFonts w:ascii="Garamond" w:hAnsi="Garamond"/>
        </w:rPr>
        <w:t xml:space="preserve">Professional activity is defined as a sustained program of study aimed to advance knowledge within a specific field. All tenured and tenure-track faculty members </w:t>
      </w:r>
      <w:r w:rsidR="00DA43E7">
        <w:rPr>
          <w:rFonts w:ascii="Garamond" w:hAnsi="Garamond"/>
        </w:rPr>
        <w:t xml:space="preserve">in the College of Arts and Letters </w:t>
      </w:r>
      <w:r w:rsidRPr="00561DB0">
        <w:rPr>
          <w:rFonts w:ascii="Garamond" w:hAnsi="Garamond"/>
        </w:rPr>
        <w:t>are expected to contribute regularly to their disciplines or professional communities, engaging in an ethically responsible way with substantive intellectual problems or aesthetic and creative questions that move their field forward. Peer-reviewed publication and similar publications, as well as public release of work (such as juried exhibits and performances), are usually considered the most important expression of a faculty member’s professional activity. Other activities that eventually lead to publication and/or other forms of professional recognition</w:t>
      </w:r>
      <w:r w:rsidR="00EA7FC4">
        <w:rPr>
          <w:rFonts w:ascii="Garamond" w:hAnsi="Garamond"/>
        </w:rPr>
        <w:t xml:space="preserve"> </w:t>
      </w:r>
      <w:r w:rsidRPr="00561DB0">
        <w:rPr>
          <w:rFonts w:ascii="Garamond" w:hAnsi="Garamond"/>
        </w:rPr>
        <w:t>are also valuable. It is expected that departments identify and rank different types of professional activity to indicate what type of contributions they prioritize, but professional activity should always be tied to a scholarly research agenda or a defined artistic plan.</w:t>
      </w:r>
      <w:r w:rsidRPr="00561DB0">
        <w:rPr>
          <w:rFonts w:ascii="Garamond" w:hAnsi="Garamond"/>
          <w:b/>
        </w:rPr>
        <w:t xml:space="preserve"> </w:t>
      </w:r>
      <w:r w:rsidRPr="00561DB0">
        <w:rPr>
          <w:rFonts w:ascii="Garamond" w:hAnsi="Garamond"/>
        </w:rPr>
        <w:t xml:space="preserve">All programs should strive for a degree of research excellence that reflects the mission of creating new knowledge and teaching methods for creating new knowledge at the highest level. </w:t>
      </w:r>
    </w:p>
    <w:p w14:paraId="4B63B1A0" w14:textId="77777777" w:rsidR="00BC2693" w:rsidRPr="00561DB0" w:rsidRDefault="00BC2693" w:rsidP="00BC2693">
      <w:pPr>
        <w:rPr>
          <w:rFonts w:ascii="Garamond" w:hAnsi="Garamond"/>
        </w:rPr>
      </w:pPr>
    </w:p>
    <w:p w14:paraId="4AA217BF" w14:textId="57D490FD" w:rsidR="00BC2693" w:rsidRPr="00561DB0" w:rsidRDefault="00BC2693" w:rsidP="00BC2693">
      <w:pPr>
        <w:pStyle w:val="ListParagraph"/>
        <w:numPr>
          <w:ilvl w:val="0"/>
          <w:numId w:val="10"/>
        </w:numPr>
        <w:rPr>
          <w:rFonts w:ascii="Garamond" w:hAnsi="Garamond"/>
        </w:rPr>
      </w:pPr>
      <w:r w:rsidRPr="00561DB0">
        <w:rPr>
          <w:rFonts w:ascii="Garamond" w:hAnsi="Garamond"/>
        </w:rPr>
        <w:t xml:space="preserve">These </w:t>
      </w:r>
      <w:r w:rsidR="005F7E65">
        <w:rPr>
          <w:rFonts w:ascii="Garamond" w:hAnsi="Garamond"/>
        </w:rPr>
        <w:t>elaborations</w:t>
      </w:r>
      <w:r w:rsidRPr="00561DB0">
        <w:rPr>
          <w:rFonts w:ascii="Garamond" w:hAnsi="Garamond"/>
        </w:rPr>
        <w:t xml:space="preserve"> subdivide the category of professional activity into two main categories: (1) research and scholarly activity and (2) artistic activity. Depending on the discipline, it is important to recognize not only that these subgroups may overlap but also that they will vary according to discipline. It is expected that department </w:t>
      </w:r>
      <w:r>
        <w:rPr>
          <w:rFonts w:ascii="Garamond" w:hAnsi="Garamond"/>
        </w:rPr>
        <w:t xml:space="preserve">elaborations </w:t>
      </w:r>
      <w:r w:rsidRPr="00561DB0">
        <w:rPr>
          <w:rFonts w:ascii="Garamond" w:hAnsi="Garamond"/>
        </w:rPr>
        <w:t xml:space="preserve">will define their specific </w:t>
      </w:r>
      <w:r w:rsidRPr="00561DB0">
        <w:rPr>
          <w:rFonts w:ascii="Garamond" w:hAnsi="Garamond"/>
        </w:rPr>
        <w:lastRenderedPageBreak/>
        <w:t>expectations more precisely and explicitly, setting standards for distinction that are appropriate to achieving excellence within their disciplines</w:t>
      </w:r>
      <w:r w:rsidR="002D06DF">
        <w:rPr>
          <w:rFonts w:ascii="Garamond" w:hAnsi="Garamond"/>
        </w:rPr>
        <w:t>.</w:t>
      </w:r>
    </w:p>
    <w:p w14:paraId="4775E54F" w14:textId="77777777" w:rsidR="00BC2693" w:rsidRPr="00561DB0" w:rsidRDefault="00BC2693" w:rsidP="00BC2693">
      <w:pPr>
        <w:pStyle w:val="ListParagraph"/>
        <w:rPr>
          <w:rFonts w:ascii="Garamond" w:hAnsi="Garamond"/>
        </w:rPr>
      </w:pPr>
    </w:p>
    <w:p w14:paraId="4E703532" w14:textId="1ADDAD96" w:rsidR="009E1532" w:rsidRPr="009E1532" w:rsidRDefault="00BC2693" w:rsidP="009E1532">
      <w:pPr>
        <w:pStyle w:val="ListParagraph"/>
        <w:numPr>
          <w:ilvl w:val="0"/>
          <w:numId w:val="12"/>
        </w:numPr>
        <w:rPr>
          <w:rFonts w:ascii="Garamond" w:hAnsi="Garamond"/>
          <w:b/>
        </w:rPr>
      </w:pPr>
      <w:r w:rsidRPr="009E1532">
        <w:rPr>
          <w:rFonts w:ascii="Garamond" w:hAnsi="Garamond"/>
          <w:b/>
        </w:rPr>
        <w:t>Research and scholarly activity</w:t>
      </w:r>
      <w:r w:rsidRPr="009E1532">
        <w:rPr>
          <w:rFonts w:ascii="Garamond" w:hAnsi="Garamond"/>
        </w:rPr>
        <w:t xml:space="preserve"> usually involve work that depends on an understanding of current disciplinary theory or creates new disciplinary theory. Such work is based on peer-reviewed research.</w:t>
      </w:r>
      <w:r w:rsidR="004A67B4">
        <w:rPr>
          <w:rFonts w:ascii="Garamond" w:hAnsi="Garamond"/>
        </w:rPr>
        <w:t xml:space="preserve"> Peer reviewed research refers to blind reviews of scholarly output or non-blind reviews with qualified editorial controls for quality in works such as books or edited volumes. Research and scholarly activity</w:t>
      </w:r>
      <w:r w:rsidRPr="009E1532">
        <w:rPr>
          <w:rFonts w:ascii="Garamond" w:hAnsi="Garamond"/>
        </w:rPr>
        <w:t xml:space="preserve"> may analyze, synthesize, interpret, evaluate, create, and propose original hypotheses and arguments about important issues and questions. It often explores, discovers, explains, or demonstrates knowledge. Research and scholarship are typically communicated in public, peer-reviewed venues such as books</w:t>
      </w:r>
      <w:r w:rsidR="005D3BC9">
        <w:rPr>
          <w:rFonts w:ascii="Garamond" w:hAnsi="Garamond"/>
        </w:rPr>
        <w:t>, book chapters</w:t>
      </w:r>
      <w:r w:rsidRPr="009E1532">
        <w:rPr>
          <w:rFonts w:ascii="Garamond" w:hAnsi="Garamond"/>
        </w:rPr>
        <w:t xml:space="preserve"> and journal articles and such work might also be expressed in reviews or technical reports, grant proposals that have been positively accepted or reviewed, papers presented at scholarly and professional associations, works of journalism, patents, translations, activities for acquiring and maintaining professional certification, licensing, and continuing education, and so forth. Other examples can include the application of disciplinary expertise either inside or outside the university or the development and commercialization of university discoveries.</w:t>
      </w:r>
    </w:p>
    <w:p w14:paraId="5B69B82E" w14:textId="3079DF17" w:rsidR="00BC2693" w:rsidRPr="009E1532" w:rsidRDefault="00BC2693" w:rsidP="009E1532">
      <w:pPr>
        <w:pStyle w:val="ListParagraph"/>
        <w:numPr>
          <w:ilvl w:val="0"/>
          <w:numId w:val="12"/>
        </w:numPr>
        <w:rPr>
          <w:rFonts w:ascii="Garamond" w:hAnsi="Garamond"/>
          <w:b/>
        </w:rPr>
      </w:pPr>
      <w:r w:rsidRPr="009E1532">
        <w:rPr>
          <w:rFonts w:ascii="Garamond" w:hAnsi="Garamond"/>
          <w:b/>
        </w:rPr>
        <w:t>Artistic achievement</w:t>
      </w:r>
      <w:r w:rsidRPr="009E1532">
        <w:rPr>
          <w:rFonts w:ascii="Garamond" w:hAnsi="Garamond"/>
        </w:rPr>
        <w:t xml:space="preserve"> </w:t>
      </w:r>
      <w:r w:rsidR="003471ED" w:rsidRPr="009E1532">
        <w:rPr>
          <w:rFonts w:ascii="Garamond" w:hAnsi="Garamond"/>
        </w:rPr>
        <w:t>is established through public presentations and publications of original creative works</w:t>
      </w:r>
      <w:r w:rsidRPr="009E1532">
        <w:rPr>
          <w:rFonts w:ascii="Garamond" w:hAnsi="Garamond"/>
        </w:rPr>
        <w:t>. Faculty members might create of original works of literature</w:t>
      </w:r>
      <w:r w:rsidR="003471ED" w:rsidRPr="009E1532">
        <w:rPr>
          <w:rFonts w:ascii="Garamond" w:hAnsi="Garamond"/>
        </w:rPr>
        <w:t>, works</w:t>
      </w:r>
      <w:r w:rsidRPr="009E1532">
        <w:rPr>
          <w:rFonts w:ascii="Garamond" w:hAnsi="Garamond"/>
        </w:rPr>
        <w:t xml:space="preserve"> </w:t>
      </w:r>
      <w:r w:rsidR="003471ED" w:rsidRPr="009E1532">
        <w:rPr>
          <w:rFonts w:ascii="Garamond" w:hAnsi="Garamond"/>
        </w:rPr>
        <w:t xml:space="preserve">of </w:t>
      </w:r>
      <w:r w:rsidRPr="009E1532">
        <w:rPr>
          <w:rFonts w:ascii="Garamond" w:hAnsi="Garamond"/>
        </w:rPr>
        <w:t xml:space="preserve">visual or performing arts, or they might direct, perform, or curate such works. Artistic achievement is usually communicated in public venues that are juried or offer the opportunity for review. A music recital, </w:t>
      </w:r>
      <w:r w:rsidR="003471ED" w:rsidRPr="009E1532">
        <w:rPr>
          <w:rFonts w:ascii="Garamond" w:hAnsi="Garamond"/>
        </w:rPr>
        <w:t xml:space="preserve">film screening, </w:t>
      </w:r>
      <w:r w:rsidRPr="009E1532">
        <w:rPr>
          <w:rFonts w:ascii="Garamond" w:hAnsi="Garamond"/>
        </w:rPr>
        <w:t>theatrical production</w:t>
      </w:r>
      <w:r w:rsidR="003471ED" w:rsidRPr="009E1532">
        <w:rPr>
          <w:rFonts w:ascii="Garamond" w:hAnsi="Garamond"/>
        </w:rPr>
        <w:t>,</w:t>
      </w:r>
      <w:r w:rsidRPr="009E1532">
        <w:rPr>
          <w:rFonts w:ascii="Garamond" w:hAnsi="Garamond"/>
        </w:rPr>
        <w:t xml:space="preserve"> concert, juried art exhibition, or publication of a poetry chapbook or work of fiction would all be considered examples of public, artistic activities.</w:t>
      </w:r>
      <w:r w:rsidR="003471ED" w:rsidRPr="009E1532">
        <w:rPr>
          <w:rFonts w:ascii="Garamond" w:hAnsi="Garamond"/>
        </w:rPr>
        <w:t xml:space="preserve"> In addition to these, other </w:t>
      </w:r>
      <w:r w:rsidR="009E1532" w:rsidRPr="009E1532">
        <w:rPr>
          <w:rFonts w:ascii="Garamond" w:hAnsi="Garamond"/>
        </w:rPr>
        <w:t>acceptable</w:t>
      </w:r>
      <w:r w:rsidR="003471ED" w:rsidRPr="009E1532">
        <w:rPr>
          <w:rFonts w:ascii="Garamond" w:hAnsi="Garamond"/>
        </w:rPr>
        <w:t xml:space="preserve"> forms of artistic activities will be identified at the department level.</w:t>
      </w:r>
      <w:r w:rsidR="003471ED" w:rsidRPr="009E1532" w:rsidDel="003471ED">
        <w:rPr>
          <w:rFonts w:ascii="Garamond" w:hAnsi="Garamond"/>
        </w:rPr>
        <w:t xml:space="preserve"> </w:t>
      </w:r>
    </w:p>
    <w:p w14:paraId="6AEA8F33" w14:textId="77777777" w:rsidR="009E1532" w:rsidRPr="009E1532" w:rsidRDefault="009E1532" w:rsidP="009E1532">
      <w:pPr>
        <w:pStyle w:val="ListParagraph"/>
        <w:ind w:left="1440"/>
        <w:rPr>
          <w:rFonts w:ascii="Garamond" w:hAnsi="Garamond"/>
          <w:b/>
        </w:rPr>
      </w:pPr>
    </w:p>
    <w:p w14:paraId="01CB9D5F" w14:textId="77777777" w:rsidR="00BC2693" w:rsidRPr="009E1532" w:rsidRDefault="00BC2693" w:rsidP="009E1532">
      <w:pPr>
        <w:ind w:left="360"/>
        <w:rPr>
          <w:rFonts w:ascii="Garamond" w:hAnsi="Garamond"/>
          <w:sz w:val="32"/>
        </w:rPr>
      </w:pPr>
      <w:r w:rsidRPr="009E1532">
        <w:rPr>
          <w:rFonts w:ascii="Garamond" w:hAnsi="Garamond"/>
          <w:b/>
          <w:sz w:val="32"/>
        </w:rPr>
        <w:t>2. Criteria for Evaluating Professional Activity</w:t>
      </w:r>
    </w:p>
    <w:p w14:paraId="7B61051F" w14:textId="77777777" w:rsidR="00BC2693" w:rsidRPr="00561DB0" w:rsidRDefault="00BC2693" w:rsidP="00BC2693">
      <w:pPr>
        <w:rPr>
          <w:rFonts w:ascii="Garamond" w:hAnsi="Garamond"/>
          <w:b/>
        </w:rPr>
      </w:pPr>
    </w:p>
    <w:p w14:paraId="362851BA" w14:textId="2E261043" w:rsidR="009E1532" w:rsidRPr="002D06DF" w:rsidRDefault="00BC2693" w:rsidP="00BC2693">
      <w:pPr>
        <w:pStyle w:val="ListParagraph"/>
        <w:numPr>
          <w:ilvl w:val="0"/>
          <w:numId w:val="2"/>
        </w:numPr>
        <w:rPr>
          <w:rFonts w:ascii="Garamond" w:hAnsi="Garamond"/>
          <w:b/>
        </w:rPr>
      </w:pPr>
      <w:r w:rsidRPr="009E1532">
        <w:rPr>
          <w:rFonts w:ascii="Garamond" w:hAnsi="Garamond"/>
          <w:b/>
        </w:rPr>
        <w:t xml:space="preserve">External peer review. </w:t>
      </w:r>
      <w:r w:rsidRPr="009E1532">
        <w:rPr>
          <w:rFonts w:ascii="Garamond" w:hAnsi="Garamond"/>
        </w:rPr>
        <w:t xml:space="preserve">Independent review by peers within a faculty member’s disciplinary specialty is important. A faculty member’s professional contributions should be evaluated by peers outside of the University of Toledo in a position to assess the quality and significance of the contributions. </w:t>
      </w:r>
    </w:p>
    <w:p w14:paraId="054AB5AE" w14:textId="77777777" w:rsidR="002D06DF" w:rsidRPr="002D06DF" w:rsidRDefault="002D06DF" w:rsidP="002D06DF">
      <w:pPr>
        <w:pStyle w:val="ListParagraph"/>
        <w:rPr>
          <w:rFonts w:ascii="Garamond" w:hAnsi="Garamond"/>
          <w:b/>
        </w:rPr>
      </w:pPr>
    </w:p>
    <w:p w14:paraId="12B7D835" w14:textId="1DE8705F" w:rsidR="002D06DF" w:rsidRPr="002D06DF" w:rsidRDefault="002D06DF" w:rsidP="002D06DF">
      <w:pPr>
        <w:pStyle w:val="ListParagraph"/>
        <w:numPr>
          <w:ilvl w:val="0"/>
          <w:numId w:val="2"/>
        </w:numPr>
        <w:rPr>
          <w:rFonts w:ascii="Garamond" w:hAnsi="Garamond"/>
          <w:b/>
        </w:rPr>
      </w:pPr>
      <w:r w:rsidRPr="002D06DF">
        <w:rPr>
          <w:rFonts w:ascii="Garamond" w:hAnsi="Garamond"/>
          <w:b/>
        </w:rPr>
        <w:t>Quality of press or venue:</w:t>
      </w:r>
      <w:r>
        <w:rPr>
          <w:rFonts w:ascii="Garamond" w:hAnsi="Garamond"/>
        </w:rPr>
        <w:t xml:space="preserve"> Evaluators should </w:t>
      </w:r>
      <w:proofErr w:type="gramStart"/>
      <w:r>
        <w:rPr>
          <w:rFonts w:ascii="Garamond" w:hAnsi="Garamond"/>
        </w:rPr>
        <w:t>take into account</w:t>
      </w:r>
      <w:proofErr w:type="gramEnd"/>
      <w:r>
        <w:rPr>
          <w:rFonts w:ascii="Garamond" w:hAnsi="Garamond"/>
        </w:rPr>
        <w:t xml:space="preserve"> the reputation of the </w:t>
      </w:r>
      <w:r w:rsidRPr="002D06DF">
        <w:rPr>
          <w:rFonts w:ascii="Garamond" w:hAnsi="Garamond"/>
        </w:rPr>
        <w:t xml:space="preserve">publication or performance venue, considering whether or not it is well-regarded by peers and has a strong record of contribution to the field. High-quality forums receive more credit toward tenure and promotion, and departments with graduate programs in particular are expected to define standards for what counts as a particularly high-quality venue for publication or performance. In some circumstances, and depending on the discipline, a university press will most likely hold its authors to higher standards than a commercial press. In other fields, the H-index (a measure of the number of highly cited journal articles) or the number of peer-reviewed articles in high impact journals may be used. A textbook published by a quality press may also be considered of scholarly value in some disciplines. Edited collections can be valuable but the candidate's intellectual contribution to the volume should </w:t>
      </w:r>
      <w:r w:rsidRPr="002D06DF">
        <w:rPr>
          <w:rFonts w:ascii="Garamond" w:hAnsi="Garamond"/>
        </w:rPr>
        <w:lastRenderedPageBreak/>
        <w:t>be addressed.</w:t>
      </w:r>
      <w:r w:rsidRPr="002D06DF">
        <w:rPr>
          <w:rFonts w:ascii="Garamond" w:hAnsi="Garamond"/>
          <w:b/>
        </w:rPr>
        <w:t xml:space="preserve"> </w:t>
      </w:r>
      <w:r w:rsidRPr="002D06DF">
        <w:rPr>
          <w:rFonts w:ascii="Garamond" w:hAnsi="Garamond"/>
        </w:rPr>
        <w:t>Similarly, with artistic work, peer reviewers will comment on the reach of a particular performance venue or professional activity, and greater emphasis is placed on those that are juried, reviewed, or likely to have continuing influence within the discipline. Besides the modes of research and creative activities listed above, individual departments will stipulate other acceptable forms of research and creativity activities within their bylaws. Candidates should explain the importance of such forms of research and creative activities within their professional statements.</w:t>
      </w:r>
    </w:p>
    <w:p w14:paraId="134D105A" w14:textId="77777777" w:rsidR="00BC2693" w:rsidRPr="00561DB0" w:rsidRDefault="00BC2693" w:rsidP="00BC2693">
      <w:pPr>
        <w:pStyle w:val="ListParagraph"/>
        <w:rPr>
          <w:rFonts w:ascii="Garamond" w:hAnsi="Garamond"/>
          <w:b/>
        </w:rPr>
      </w:pPr>
    </w:p>
    <w:p w14:paraId="0E791887" w14:textId="0579B4B3" w:rsidR="00BC2693" w:rsidRPr="005F7E65" w:rsidRDefault="00BC2693" w:rsidP="00BC2693">
      <w:pPr>
        <w:pStyle w:val="ListParagraph"/>
        <w:numPr>
          <w:ilvl w:val="0"/>
          <w:numId w:val="6"/>
        </w:numPr>
        <w:rPr>
          <w:rFonts w:ascii="Garamond" w:hAnsi="Garamond"/>
          <w:b/>
        </w:rPr>
      </w:pPr>
      <w:r w:rsidRPr="00561DB0">
        <w:rPr>
          <w:rFonts w:ascii="Garamond" w:hAnsi="Garamond"/>
          <w:b/>
        </w:rPr>
        <w:t xml:space="preserve">Quantity. </w:t>
      </w:r>
      <w:r w:rsidRPr="00561DB0">
        <w:rPr>
          <w:rFonts w:ascii="Garamond" w:hAnsi="Garamond"/>
        </w:rPr>
        <w:t xml:space="preserve">Research and scholarly activity for the sake of reaching a numerical quota is discouraged, but the regularity of publication should be </w:t>
      </w:r>
      <w:proofErr w:type="gramStart"/>
      <w:r w:rsidRPr="00561DB0">
        <w:rPr>
          <w:rFonts w:ascii="Garamond" w:hAnsi="Garamond"/>
        </w:rPr>
        <w:t>taken into account</w:t>
      </w:r>
      <w:proofErr w:type="gramEnd"/>
      <w:r w:rsidRPr="00561DB0">
        <w:rPr>
          <w:rFonts w:ascii="Garamond" w:hAnsi="Garamond"/>
        </w:rPr>
        <w:t>. A pattern of steady, consistent, substantive work in high quality venues is preferable to either a high volume of work frequently put out in less prestigious venues or a record of infrequent, sporadic completion.</w:t>
      </w:r>
      <w:r w:rsidR="002D06DF">
        <w:rPr>
          <w:rFonts w:ascii="Garamond" w:hAnsi="Garamond"/>
        </w:rPr>
        <w:t xml:space="preserve"> </w:t>
      </w:r>
      <w:r w:rsidR="002D06DF" w:rsidRPr="005F7E65">
        <w:rPr>
          <w:rFonts w:ascii="Garamond" w:hAnsi="Garamond"/>
        </w:rPr>
        <w:t>Such publications as invited encyclopedia or handbook entries, bibliographies or book reviews should be assessed as to placement, substance, length, and process of review</w:t>
      </w:r>
      <w:r w:rsidR="00653391" w:rsidRPr="005F7E65">
        <w:rPr>
          <w:rFonts w:ascii="Garamond" w:hAnsi="Garamond"/>
        </w:rPr>
        <w:t>.</w:t>
      </w:r>
    </w:p>
    <w:p w14:paraId="56AE9FA0" w14:textId="77777777" w:rsidR="00BC2693" w:rsidRPr="00561DB0" w:rsidRDefault="00BC2693" w:rsidP="00BC2693">
      <w:pPr>
        <w:rPr>
          <w:rFonts w:ascii="Garamond" w:hAnsi="Garamond"/>
          <w:b/>
        </w:rPr>
      </w:pPr>
    </w:p>
    <w:p w14:paraId="042E99E4" w14:textId="53170524" w:rsidR="00BC2693" w:rsidRPr="00561DB0" w:rsidRDefault="00BC2693" w:rsidP="00BC2693">
      <w:pPr>
        <w:pStyle w:val="ListParagraph"/>
        <w:numPr>
          <w:ilvl w:val="0"/>
          <w:numId w:val="6"/>
        </w:numPr>
        <w:rPr>
          <w:rFonts w:ascii="Garamond" w:hAnsi="Garamond"/>
          <w:b/>
        </w:rPr>
      </w:pPr>
      <w:r w:rsidRPr="00561DB0">
        <w:rPr>
          <w:rFonts w:ascii="Garamond" w:hAnsi="Garamond"/>
          <w:b/>
        </w:rPr>
        <w:t xml:space="preserve">Authorship. </w:t>
      </w:r>
      <w:r w:rsidRPr="00561DB0">
        <w:rPr>
          <w:rFonts w:ascii="Garamond" w:hAnsi="Garamond"/>
        </w:rPr>
        <w:t>Evaluators should recognize disciplinary standards regarding the relative value of primary and/or senior (e.g., communicating or corresponding) co-authorship. In some disciplines, solo or primary authorship is preferred; in others, multi-authored work is standard and may, in some circumstances, reflect innovative cross-disciplinary collaboration. Many departments value student co-authorship.</w:t>
      </w:r>
      <w:r w:rsidR="00D7001F">
        <w:rPr>
          <w:rFonts w:ascii="Garamond" w:hAnsi="Garamond"/>
        </w:rPr>
        <w:t xml:space="preserve"> In instances of co-authorship, it is important that candidates document their contributions to any manuscript. Such evidence may include letters from co-authors or like items that demonstrate intellectual engagement in the project.</w:t>
      </w:r>
    </w:p>
    <w:p w14:paraId="0AD26E5D" w14:textId="77777777" w:rsidR="00BC2693" w:rsidRPr="00561DB0" w:rsidRDefault="00BC2693" w:rsidP="00BC2693">
      <w:pPr>
        <w:pStyle w:val="ListParagraph"/>
        <w:rPr>
          <w:rFonts w:ascii="Garamond" w:hAnsi="Garamond"/>
          <w:b/>
        </w:rPr>
      </w:pPr>
    </w:p>
    <w:p w14:paraId="45E0918B" w14:textId="75D614DE" w:rsidR="00BC2693" w:rsidRPr="002D06DF" w:rsidRDefault="00BC2693" w:rsidP="00BC2693">
      <w:pPr>
        <w:pStyle w:val="ListParagraph"/>
        <w:numPr>
          <w:ilvl w:val="0"/>
          <w:numId w:val="6"/>
        </w:numPr>
        <w:rPr>
          <w:rFonts w:ascii="Garamond" w:hAnsi="Garamond"/>
          <w:b/>
        </w:rPr>
      </w:pPr>
      <w:r w:rsidRPr="00561DB0">
        <w:rPr>
          <w:rFonts w:ascii="Garamond" w:hAnsi="Garamond"/>
          <w:b/>
        </w:rPr>
        <w:t xml:space="preserve">Coherence. </w:t>
      </w:r>
      <w:r w:rsidRPr="00561DB0">
        <w:rPr>
          <w:rFonts w:ascii="Garamond" w:hAnsi="Garamond"/>
        </w:rPr>
        <w:t>A candidate’s professional activity can take many forms and directions, and developing new projects is a key aspect of sustaining a vital research agenda. But a faculty member’s research and scholarship profile should have some coherence and integration, with disparate connections explained. Faculty should show how the questions being considered relate to one another and are being tested effectively, and the work is meaningfully advancing knowledge in an important direction. In other words, the logic behind faculty professional activity should be clear, and output should not appear random or erratic.</w:t>
      </w:r>
    </w:p>
    <w:p w14:paraId="12D9140A" w14:textId="77777777" w:rsidR="002D06DF" w:rsidRPr="002D06DF" w:rsidRDefault="002D06DF" w:rsidP="002D06DF">
      <w:pPr>
        <w:pStyle w:val="ListParagraph"/>
        <w:rPr>
          <w:rFonts w:ascii="Garamond" w:hAnsi="Garamond"/>
          <w:b/>
        </w:rPr>
      </w:pPr>
    </w:p>
    <w:p w14:paraId="55448884" w14:textId="3CE3DB75" w:rsidR="002D06DF" w:rsidRPr="00B2521A" w:rsidRDefault="002D06DF" w:rsidP="002D06DF">
      <w:pPr>
        <w:pStyle w:val="ListParagraph"/>
        <w:numPr>
          <w:ilvl w:val="0"/>
          <w:numId w:val="6"/>
        </w:numPr>
        <w:rPr>
          <w:rFonts w:ascii="Garamond" w:hAnsi="Garamond"/>
        </w:rPr>
      </w:pPr>
      <w:r w:rsidRPr="002D06DF">
        <w:rPr>
          <w:rFonts w:ascii="Garamond" w:hAnsi="Garamond"/>
          <w:b/>
        </w:rPr>
        <w:t xml:space="preserve"> </w:t>
      </w:r>
      <w:r w:rsidR="00BC2693" w:rsidRPr="002D06DF">
        <w:rPr>
          <w:rFonts w:ascii="Garamond" w:hAnsi="Garamond"/>
          <w:b/>
        </w:rPr>
        <w:t xml:space="preserve">Resources. </w:t>
      </w:r>
      <w:r w:rsidRPr="00B2521A">
        <w:rPr>
          <w:rFonts w:ascii="Garamond" w:hAnsi="Garamond"/>
        </w:rPr>
        <w:t xml:space="preserve">Resources available or unavailable, such as protected time, teaching releases, qualified graduate research assistants or doctoral students, journal access, funding for subventions or indexing, sabbaticals and leaves, and funds for research travel, supplies, equipment, or facilities, may impact when and where work is presented and/or published. This should be </w:t>
      </w:r>
      <w:proofErr w:type="gramStart"/>
      <w:r w:rsidRPr="00B2521A">
        <w:rPr>
          <w:rFonts w:ascii="Garamond" w:hAnsi="Garamond"/>
        </w:rPr>
        <w:t>taken into account</w:t>
      </w:r>
      <w:proofErr w:type="gramEnd"/>
      <w:r w:rsidRPr="00B2521A">
        <w:rPr>
          <w:rFonts w:ascii="Garamond" w:hAnsi="Garamond"/>
        </w:rPr>
        <w:t xml:space="preserve"> in assessing the overall record of the candidate.</w:t>
      </w:r>
    </w:p>
    <w:p w14:paraId="4DD14D06" w14:textId="1DFEDBD7" w:rsidR="00BC2693" w:rsidRPr="002D06DF" w:rsidRDefault="00BC2693" w:rsidP="002D06DF">
      <w:pPr>
        <w:pStyle w:val="ListParagraph"/>
        <w:rPr>
          <w:rFonts w:ascii="Garamond" w:hAnsi="Garamond"/>
        </w:rPr>
      </w:pPr>
    </w:p>
    <w:p w14:paraId="7184BC63" w14:textId="17371CC3" w:rsidR="00BC2693" w:rsidRPr="00561DB0" w:rsidRDefault="00BC2693" w:rsidP="00BC2693">
      <w:pPr>
        <w:pStyle w:val="ListParagraph"/>
        <w:numPr>
          <w:ilvl w:val="0"/>
          <w:numId w:val="6"/>
        </w:numPr>
        <w:rPr>
          <w:rFonts w:ascii="Garamond" w:hAnsi="Garamond"/>
        </w:rPr>
      </w:pPr>
      <w:r w:rsidRPr="00561DB0">
        <w:rPr>
          <w:rFonts w:ascii="Garamond" w:hAnsi="Garamond"/>
          <w:b/>
        </w:rPr>
        <w:t>Interdisciplinary work and collaboration.</w:t>
      </w:r>
      <w:r w:rsidRPr="00561DB0">
        <w:rPr>
          <w:rFonts w:ascii="Garamond" w:eastAsia="Times New Roman" w:hAnsi="Garamond" w:cs="Times New Roman"/>
        </w:rPr>
        <w:t xml:space="preserve"> In some cases, scholars might be working in multiple disciplines, have a degree from a discipline different from that of their current department, or be collaborating with scholars in other disciplines. In such circumstances, departments are expected to define the expectations of professional activity very specifically, and the norms of one department’s discipline should be balanced against the norms of the other department(s) involved. All faculty are responsible for demonstrating their specific </w:t>
      </w:r>
      <w:r w:rsidRPr="00561DB0">
        <w:rPr>
          <w:rFonts w:ascii="Garamond" w:eastAsia="Times New Roman" w:hAnsi="Garamond" w:cs="Times New Roman"/>
        </w:rPr>
        <w:lastRenderedPageBreak/>
        <w:t>contribution to their field, regardless of whether that contribution appears in single-author or co-authored forms.</w:t>
      </w:r>
    </w:p>
    <w:p w14:paraId="0C3C20AC" w14:textId="77777777" w:rsidR="00BC2693" w:rsidRPr="00561DB0" w:rsidRDefault="00BC2693" w:rsidP="00BC2693">
      <w:pPr>
        <w:pStyle w:val="ListParagraph"/>
        <w:rPr>
          <w:rFonts w:ascii="Garamond" w:hAnsi="Garamond"/>
        </w:rPr>
      </w:pPr>
    </w:p>
    <w:p w14:paraId="79BE1FF4" w14:textId="77777777" w:rsidR="00BC2693" w:rsidRPr="00561DB0" w:rsidRDefault="00BC2693" w:rsidP="00BC2693">
      <w:pPr>
        <w:pStyle w:val="ListParagraph"/>
        <w:numPr>
          <w:ilvl w:val="0"/>
          <w:numId w:val="6"/>
        </w:numPr>
        <w:rPr>
          <w:rFonts w:ascii="Garamond" w:hAnsi="Garamond"/>
        </w:rPr>
      </w:pPr>
      <w:r w:rsidRPr="00561DB0">
        <w:rPr>
          <w:rFonts w:ascii="Garamond" w:hAnsi="Garamond"/>
          <w:b/>
        </w:rPr>
        <w:t xml:space="preserve">Professionalism. </w:t>
      </w:r>
      <w:r w:rsidRPr="00561DB0">
        <w:rPr>
          <w:rFonts w:ascii="Garamond" w:hAnsi="Garamond"/>
        </w:rPr>
        <w:t>Research, scholarship, and artistic endeavor frequently involve interactions with colleagues both at a faculty member’s home institution and within the various external professional networks to which they may belong. In such interactions, faculty, guided by a deep conviction of the worth and dignity of the advancement of knowledge, must at all times strive to be accurate, exercise appropriate restraint, and show respect for the opinions of others.</w:t>
      </w:r>
      <w:r w:rsidRPr="00561DB0">
        <w:rPr>
          <w:rFonts w:ascii="Garamond" w:hAnsi="Garamond"/>
          <w:b/>
        </w:rPr>
        <w:t xml:space="preserve"> </w:t>
      </w:r>
      <w:r w:rsidRPr="00561DB0">
        <w:rPr>
          <w:rFonts w:ascii="Garamond" w:hAnsi="Garamond"/>
        </w:rPr>
        <w:t xml:space="preserve">They must acknowledge academic debts, avoid discriminating against or harassing colleagues, and respect and defend the free inquiry of associates.  </w:t>
      </w:r>
    </w:p>
    <w:p w14:paraId="0DDCB9B2" w14:textId="77777777" w:rsidR="00BC2693" w:rsidRPr="00561DB0" w:rsidRDefault="00BC2693" w:rsidP="00BC2693">
      <w:pPr>
        <w:pStyle w:val="ListParagraph"/>
        <w:rPr>
          <w:rFonts w:ascii="Garamond" w:hAnsi="Garamond"/>
        </w:rPr>
      </w:pPr>
    </w:p>
    <w:p w14:paraId="67CCA46C" w14:textId="77777777" w:rsidR="00BC2693" w:rsidRPr="00561DB0" w:rsidRDefault="00BC2693" w:rsidP="00BC2693">
      <w:pPr>
        <w:rPr>
          <w:rFonts w:ascii="Garamond" w:hAnsi="Garamond"/>
          <w:sz w:val="36"/>
          <w:szCs w:val="36"/>
        </w:rPr>
      </w:pPr>
      <w:r w:rsidRPr="00561DB0">
        <w:rPr>
          <w:rFonts w:ascii="Garamond" w:hAnsi="Garamond"/>
          <w:b/>
          <w:sz w:val="36"/>
          <w:szCs w:val="36"/>
        </w:rPr>
        <w:t>C. Service</w:t>
      </w:r>
    </w:p>
    <w:p w14:paraId="30CCBD5E" w14:textId="77777777" w:rsidR="00BC2693" w:rsidRPr="00561DB0" w:rsidRDefault="00BC2693" w:rsidP="00BC2693">
      <w:pPr>
        <w:rPr>
          <w:rFonts w:ascii="Garamond" w:hAnsi="Garamond"/>
        </w:rPr>
      </w:pPr>
    </w:p>
    <w:p w14:paraId="39899BD6" w14:textId="77777777" w:rsidR="00BC2693" w:rsidRPr="00561DB0" w:rsidRDefault="00BC2693" w:rsidP="00BC2693">
      <w:pPr>
        <w:ind w:firstLine="360"/>
        <w:rPr>
          <w:rFonts w:ascii="Garamond" w:hAnsi="Garamond"/>
          <w:b/>
          <w:sz w:val="32"/>
        </w:rPr>
      </w:pPr>
      <w:r w:rsidRPr="00561DB0">
        <w:rPr>
          <w:rFonts w:ascii="Garamond" w:hAnsi="Garamond"/>
          <w:b/>
          <w:sz w:val="32"/>
        </w:rPr>
        <w:t>1. Definition of Service</w:t>
      </w:r>
    </w:p>
    <w:p w14:paraId="6F2C2EAA" w14:textId="77777777" w:rsidR="00BC2693" w:rsidRPr="00561DB0" w:rsidRDefault="00BC2693" w:rsidP="00BC2693">
      <w:pPr>
        <w:ind w:firstLine="360"/>
        <w:rPr>
          <w:rFonts w:ascii="Garamond" w:hAnsi="Garamond"/>
          <w:b/>
        </w:rPr>
      </w:pPr>
    </w:p>
    <w:p w14:paraId="0D072C5E" w14:textId="77777777" w:rsidR="00BC2693" w:rsidRPr="00561DB0" w:rsidRDefault="00BC2693" w:rsidP="00BC2693">
      <w:pPr>
        <w:ind w:left="360"/>
        <w:rPr>
          <w:rFonts w:ascii="Garamond" w:hAnsi="Garamond"/>
        </w:rPr>
      </w:pPr>
      <w:r w:rsidRPr="00561DB0">
        <w:rPr>
          <w:rFonts w:ascii="Garamond" w:hAnsi="Garamond"/>
        </w:rPr>
        <w:t xml:space="preserve">Service is defined as faculty using their knowledge and skills to engage in specific activities that contribute to the advancement of the university, the discipline or profession, and community. The different categories of service identified here are not exhaustive and often overlap, but they have been separated into three subgroups both for ease of use and for greater recognition of the different possibilities inherent in this category. </w:t>
      </w:r>
    </w:p>
    <w:p w14:paraId="673DC852" w14:textId="77777777" w:rsidR="00BC2693" w:rsidRPr="00561DB0" w:rsidRDefault="00BC2693" w:rsidP="00BC2693">
      <w:pPr>
        <w:pStyle w:val="ListParagraph"/>
        <w:rPr>
          <w:rFonts w:ascii="Garamond" w:hAnsi="Garamond"/>
        </w:rPr>
      </w:pPr>
    </w:p>
    <w:p w14:paraId="483AD824" w14:textId="03EE8EBC" w:rsidR="00BC2693" w:rsidRPr="00561DB0" w:rsidRDefault="00BC2693" w:rsidP="00BC2693">
      <w:pPr>
        <w:pStyle w:val="ListParagraph"/>
        <w:numPr>
          <w:ilvl w:val="1"/>
          <w:numId w:val="2"/>
        </w:numPr>
        <w:rPr>
          <w:rFonts w:ascii="Garamond" w:hAnsi="Garamond"/>
        </w:rPr>
      </w:pPr>
      <w:r w:rsidRPr="00561DB0">
        <w:rPr>
          <w:rFonts w:ascii="Garamond" w:hAnsi="Garamond"/>
          <w:b/>
        </w:rPr>
        <w:t xml:space="preserve">Institutional service </w:t>
      </w:r>
      <w:r w:rsidRPr="00561DB0">
        <w:rPr>
          <w:rFonts w:ascii="Garamond" w:hAnsi="Garamond"/>
        </w:rPr>
        <w:t>consists of a faculty member’s participation in the departmental, college, and university-level activities that contribute in a substantial way to the important work of the institution. Including but not limited to committees, boards, task forces, and other governing bodies, as well as various types of leadership roles, institutional service is essential to shared governance, because it is through this work that faculty members engage with decisions that affect the university on every level. All faculty should accept their share of faculty responsibilities in the academic governance of the university.</w:t>
      </w:r>
    </w:p>
    <w:p w14:paraId="1482BB91" w14:textId="77777777" w:rsidR="00BC2693" w:rsidRPr="00561DB0" w:rsidRDefault="00BC2693" w:rsidP="00BC2693">
      <w:pPr>
        <w:rPr>
          <w:rFonts w:ascii="Garamond" w:hAnsi="Garamond"/>
        </w:rPr>
      </w:pPr>
    </w:p>
    <w:p w14:paraId="76625F06" w14:textId="349D7DF2" w:rsidR="00BC2693" w:rsidRPr="00561DB0" w:rsidRDefault="00BC2693" w:rsidP="005F23CB">
      <w:pPr>
        <w:pStyle w:val="ListParagraph"/>
        <w:numPr>
          <w:ilvl w:val="1"/>
          <w:numId w:val="2"/>
        </w:numPr>
        <w:rPr>
          <w:rFonts w:ascii="Garamond" w:hAnsi="Garamond"/>
        </w:rPr>
      </w:pPr>
      <w:r w:rsidRPr="00561DB0">
        <w:rPr>
          <w:rFonts w:ascii="Garamond" w:hAnsi="Garamond"/>
          <w:b/>
        </w:rPr>
        <w:t>Professional service</w:t>
      </w:r>
      <w:r w:rsidRPr="00561DB0">
        <w:rPr>
          <w:rFonts w:ascii="Garamond" w:hAnsi="Garamond"/>
        </w:rPr>
        <w:t xml:space="preserve"> consists of contributions to the advancement of a faculty member’s discipline or profession. For instance, serving on a journal advisory board or the executive committee of a professional organization, organizing or running a conference, </w:t>
      </w:r>
      <w:r w:rsidR="007E2B67">
        <w:rPr>
          <w:rFonts w:ascii="Garamond" w:hAnsi="Garamond"/>
        </w:rPr>
        <w:t xml:space="preserve">serving as a discussant for a panel, book reviews, </w:t>
      </w:r>
      <w:r w:rsidRPr="00561DB0">
        <w:rPr>
          <w:rFonts w:ascii="Garamond" w:hAnsi="Garamond"/>
        </w:rPr>
        <w:t>vetting manuscripts for publication</w:t>
      </w:r>
      <w:r w:rsidR="00E25388">
        <w:rPr>
          <w:rFonts w:ascii="Garamond" w:hAnsi="Garamond"/>
        </w:rPr>
        <w:t xml:space="preserve"> in journals or edited collections</w:t>
      </w:r>
      <w:r w:rsidR="00836D42">
        <w:rPr>
          <w:rFonts w:ascii="Garamond" w:hAnsi="Garamond"/>
        </w:rPr>
        <w:t xml:space="preserve">, or clinical activities </w:t>
      </w:r>
      <w:r w:rsidRPr="00561DB0">
        <w:rPr>
          <w:rFonts w:ascii="Garamond" w:hAnsi="Garamond"/>
        </w:rPr>
        <w:t>are all forms of professional service</w:t>
      </w:r>
      <w:r w:rsidR="005F23CB">
        <w:rPr>
          <w:rFonts w:ascii="Garamond" w:hAnsi="Garamond"/>
        </w:rPr>
        <w:t>.</w:t>
      </w:r>
      <w:r w:rsidR="004A2DB9">
        <w:rPr>
          <w:rFonts w:ascii="Garamond" w:hAnsi="Garamond"/>
        </w:rPr>
        <w:t xml:space="preserve"> In addition, p</w:t>
      </w:r>
      <w:r w:rsidR="005F23CB">
        <w:rPr>
          <w:rFonts w:ascii="Garamond" w:hAnsi="Garamond"/>
        </w:rPr>
        <w:t xml:space="preserve">rominent media appearances in </w:t>
      </w:r>
      <w:r w:rsidR="005F23CB" w:rsidRPr="005F23CB">
        <w:rPr>
          <w:rFonts w:ascii="Garamond" w:hAnsi="Garamond"/>
        </w:rPr>
        <w:t>respected outlets</w:t>
      </w:r>
      <w:r w:rsidR="005F23CB">
        <w:rPr>
          <w:rFonts w:ascii="Garamond" w:hAnsi="Garamond"/>
        </w:rPr>
        <w:t xml:space="preserve"> such as national newspapers, television, or radio are professional service</w:t>
      </w:r>
      <w:r w:rsidR="004A2DB9">
        <w:rPr>
          <w:rFonts w:ascii="Garamond" w:hAnsi="Garamond"/>
        </w:rPr>
        <w:t xml:space="preserve"> provided such appearances are related to their expertise.</w:t>
      </w:r>
      <w:r w:rsidRPr="00561DB0">
        <w:rPr>
          <w:rFonts w:ascii="Garamond" w:hAnsi="Garamond"/>
        </w:rPr>
        <w:t xml:space="preserve"> </w:t>
      </w:r>
      <w:r w:rsidR="004A2DB9">
        <w:rPr>
          <w:rFonts w:ascii="Garamond" w:hAnsi="Garamond"/>
        </w:rPr>
        <w:t xml:space="preserve">Professional </w:t>
      </w:r>
      <w:r w:rsidRPr="00561DB0">
        <w:rPr>
          <w:rFonts w:ascii="Garamond" w:hAnsi="Garamond"/>
        </w:rPr>
        <w:t>service helps disciplines and professions to flourish by creating and maintaining infrastructure for the activities of peers in the field. In turn, professional service also raises the profile of the faculty member’s home institution.</w:t>
      </w:r>
      <w:r w:rsidR="00D7001F">
        <w:rPr>
          <w:rFonts w:ascii="Garamond" w:hAnsi="Garamond"/>
        </w:rPr>
        <w:t xml:space="preserve"> It is important that candidates document their contributions in these areas and fully explain their </w:t>
      </w:r>
      <w:r w:rsidR="00940579">
        <w:rPr>
          <w:rFonts w:ascii="Garamond" w:hAnsi="Garamond"/>
        </w:rPr>
        <w:t xml:space="preserve">professional services roles and commitments. </w:t>
      </w:r>
    </w:p>
    <w:p w14:paraId="36E44F9C" w14:textId="77777777" w:rsidR="00BC2693" w:rsidRPr="00561DB0" w:rsidRDefault="00BC2693" w:rsidP="00BC2693">
      <w:pPr>
        <w:pStyle w:val="ListParagraph"/>
        <w:ind w:left="1440"/>
        <w:rPr>
          <w:rFonts w:ascii="Garamond" w:hAnsi="Garamond"/>
        </w:rPr>
      </w:pPr>
    </w:p>
    <w:p w14:paraId="0A58CE99" w14:textId="37BE99CB" w:rsidR="004A2DB9" w:rsidRPr="004A2DB9" w:rsidRDefault="00BC2693" w:rsidP="004A2DB9">
      <w:pPr>
        <w:pStyle w:val="ListParagraph"/>
        <w:numPr>
          <w:ilvl w:val="1"/>
          <w:numId w:val="2"/>
        </w:numPr>
        <w:rPr>
          <w:rFonts w:ascii="Garamond" w:hAnsi="Garamond"/>
        </w:rPr>
      </w:pPr>
      <w:r w:rsidRPr="004A2DB9">
        <w:rPr>
          <w:rFonts w:ascii="Garamond" w:hAnsi="Garamond"/>
          <w:b/>
        </w:rPr>
        <w:t xml:space="preserve">Community service </w:t>
      </w:r>
      <w:r w:rsidRPr="004A2DB9">
        <w:rPr>
          <w:rFonts w:ascii="Garamond" w:hAnsi="Garamond"/>
        </w:rPr>
        <w:t>is defined as faculty using their skills and professional expertise to benefit</w:t>
      </w:r>
      <w:r w:rsidR="00836D42" w:rsidRPr="004A2DB9">
        <w:rPr>
          <w:rFonts w:ascii="Garamond" w:hAnsi="Garamond"/>
        </w:rPr>
        <w:t xml:space="preserve"> the knowledge, health, and well-being of t</w:t>
      </w:r>
      <w:r w:rsidRPr="004A2DB9">
        <w:rPr>
          <w:rFonts w:ascii="Garamond" w:hAnsi="Garamond"/>
        </w:rPr>
        <w:t xml:space="preserve">heir larger communities. This </w:t>
      </w:r>
      <w:r w:rsidRPr="004A2DB9">
        <w:rPr>
          <w:rFonts w:ascii="Garamond" w:hAnsi="Garamond"/>
        </w:rPr>
        <w:lastRenderedPageBreak/>
        <w:t xml:space="preserve">type of service work can occur either on campus or outside the university, and it can include engagement with regional, state, national, or global activities. Examples might include collaboration or mentorship with a student group, outreach to an organization that serves a public purpose, collaborating with schools, businesses, </w:t>
      </w:r>
      <w:r w:rsidR="004A2DB9" w:rsidRPr="004A2DB9">
        <w:rPr>
          <w:rFonts w:ascii="Garamond" w:hAnsi="Garamond"/>
        </w:rPr>
        <w:t>nonprofit organizations,</w:t>
      </w:r>
      <w:r w:rsidR="004A2DB9">
        <w:rPr>
          <w:rFonts w:ascii="Garamond" w:hAnsi="Garamond"/>
        </w:rPr>
        <w:t xml:space="preserve"> and government agencies, </w:t>
      </w:r>
      <w:r w:rsidRPr="004A2DB9">
        <w:rPr>
          <w:rFonts w:ascii="Garamond" w:hAnsi="Garamond"/>
        </w:rPr>
        <w:t xml:space="preserve">developing innovative solutions that address social, economic, or environmental challenges, or unpaid consulting work. </w:t>
      </w:r>
      <w:r w:rsidR="004A2DB9" w:rsidRPr="004A2DB9">
        <w:rPr>
          <w:rFonts w:ascii="Garamond" w:hAnsi="Garamond"/>
        </w:rPr>
        <w:t xml:space="preserve">It is important that candidates document their contributions in these areas and fully explain their </w:t>
      </w:r>
      <w:r w:rsidR="004A2DB9">
        <w:rPr>
          <w:rFonts w:ascii="Garamond" w:hAnsi="Garamond"/>
        </w:rPr>
        <w:t>community</w:t>
      </w:r>
      <w:r w:rsidR="004A2DB9" w:rsidRPr="004A2DB9">
        <w:rPr>
          <w:rFonts w:ascii="Garamond" w:hAnsi="Garamond"/>
        </w:rPr>
        <w:t xml:space="preserve"> services roles and commitments. </w:t>
      </w:r>
    </w:p>
    <w:p w14:paraId="6FCED2D5" w14:textId="67AC6654" w:rsidR="00BC2693" w:rsidRPr="00561DB0" w:rsidRDefault="00BC2693" w:rsidP="005D3BC9">
      <w:pPr>
        <w:pStyle w:val="ListParagraph"/>
        <w:ind w:left="1440"/>
        <w:rPr>
          <w:rFonts w:ascii="Garamond" w:hAnsi="Garamond"/>
        </w:rPr>
      </w:pPr>
    </w:p>
    <w:p w14:paraId="6C7B3A4D" w14:textId="77777777" w:rsidR="00BC2693" w:rsidRPr="00561DB0" w:rsidRDefault="00BC2693" w:rsidP="00BC2693">
      <w:pPr>
        <w:pStyle w:val="ListParagraph"/>
        <w:ind w:left="1440"/>
        <w:rPr>
          <w:rFonts w:ascii="Garamond" w:hAnsi="Garamond"/>
        </w:rPr>
      </w:pPr>
    </w:p>
    <w:p w14:paraId="4E787ECD" w14:textId="2AD0B1FD" w:rsidR="00BC2693" w:rsidRPr="00561DB0" w:rsidRDefault="00BC2693" w:rsidP="00BC2693">
      <w:pPr>
        <w:pStyle w:val="ListParagraph"/>
        <w:numPr>
          <w:ilvl w:val="0"/>
          <w:numId w:val="2"/>
        </w:numPr>
        <w:rPr>
          <w:rFonts w:ascii="Garamond" w:hAnsi="Garamond"/>
        </w:rPr>
      </w:pPr>
      <w:r w:rsidRPr="00561DB0">
        <w:rPr>
          <w:rFonts w:ascii="Garamond" w:hAnsi="Garamond"/>
        </w:rPr>
        <w:t>Some faculty pursue community engaged teaching or community engaged research.</w:t>
      </w:r>
      <w:r w:rsidR="005D3BC9">
        <w:rPr>
          <w:rFonts w:ascii="Garamond" w:hAnsi="Garamond"/>
        </w:rPr>
        <w:t xml:space="preserve"> </w:t>
      </w:r>
      <w:r w:rsidR="008A6DDD">
        <w:rPr>
          <w:rFonts w:ascii="Garamond" w:hAnsi="Garamond"/>
        </w:rPr>
        <w:t>D</w:t>
      </w:r>
      <w:r w:rsidRPr="00561DB0">
        <w:rPr>
          <w:rFonts w:ascii="Garamond" w:hAnsi="Garamond"/>
        </w:rPr>
        <w:t>epartments should define what community engaged teaching or research means to them, what their expectations and standards for it are, and whether or not such work should be assigned to the teaching, research, or service categories.</w:t>
      </w:r>
    </w:p>
    <w:p w14:paraId="7FA56EC9" w14:textId="77777777" w:rsidR="00BC2693" w:rsidRPr="00561DB0" w:rsidRDefault="00BC2693" w:rsidP="00BC2693">
      <w:pPr>
        <w:rPr>
          <w:rFonts w:ascii="Garamond" w:hAnsi="Garamond"/>
        </w:rPr>
      </w:pPr>
    </w:p>
    <w:p w14:paraId="08981FF1" w14:textId="77777777" w:rsidR="00BC2693" w:rsidRPr="00561DB0" w:rsidRDefault="00BC2693" w:rsidP="00BC2693">
      <w:pPr>
        <w:ind w:firstLine="360"/>
        <w:rPr>
          <w:rFonts w:ascii="Garamond" w:hAnsi="Garamond"/>
          <w:sz w:val="32"/>
        </w:rPr>
      </w:pPr>
      <w:r w:rsidRPr="00561DB0">
        <w:rPr>
          <w:rFonts w:ascii="Garamond" w:hAnsi="Garamond"/>
          <w:b/>
          <w:sz w:val="32"/>
        </w:rPr>
        <w:t xml:space="preserve">2. Criteria for Evaluating Service </w:t>
      </w:r>
    </w:p>
    <w:p w14:paraId="4F0E0B09" w14:textId="77777777" w:rsidR="00BC2693" w:rsidRPr="00561DB0" w:rsidRDefault="00BC2693" w:rsidP="00BC2693">
      <w:pPr>
        <w:ind w:firstLine="360"/>
        <w:rPr>
          <w:rFonts w:ascii="Garamond" w:hAnsi="Garamond"/>
          <w:b/>
        </w:rPr>
      </w:pPr>
    </w:p>
    <w:p w14:paraId="68CA31BB" w14:textId="77777777"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Outcomes.</w:t>
      </w:r>
      <w:r w:rsidRPr="00561DB0">
        <w:rPr>
          <w:rFonts w:ascii="Garamond" w:eastAsia="Times New Roman" w:hAnsi="Garamond" w:cs="Times New Roman"/>
        </w:rPr>
        <w:t xml:space="preserve"> The outcome of a faculty member’s service is a crucial factor in evaluating its effectiveness. Evaluators should consider whether or not the service rendered achieved a particular and meaningful result.</w:t>
      </w:r>
    </w:p>
    <w:p w14:paraId="2FE2CE7E" w14:textId="77777777" w:rsidR="00BC2693" w:rsidRPr="00561DB0" w:rsidRDefault="00BC2693" w:rsidP="00BC2693">
      <w:pPr>
        <w:pStyle w:val="ListParagraph"/>
        <w:rPr>
          <w:rFonts w:ascii="Garamond" w:eastAsia="Times New Roman" w:hAnsi="Garamond" w:cs="Times New Roman"/>
        </w:rPr>
      </w:pPr>
    </w:p>
    <w:p w14:paraId="2B187F68" w14:textId="77777777"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 xml:space="preserve">Effectiveness. </w:t>
      </w:r>
      <w:r w:rsidRPr="00561DB0">
        <w:rPr>
          <w:rFonts w:ascii="Garamond" w:eastAsia="Times New Roman" w:hAnsi="Garamond" w:cs="Times New Roman"/>
        </w:rPr>
        <w:t>Service is more than a name on a roster. It is the active and meaningful participation to improve the university or its profile in the community or with peer institutions. Regular attendance and meeting all the expectations of the assigned role are expected.</w:t>
      </w:r>
    </w:p>
    <w:p w14:paraId="65DC8522" w14:textId="77777777" w:rsidR="00BC2693" w:rsidRPr="00561DB0" w:rsidRDefault="00BC2693" w:rsidP="00BC2693">
      <w:pPr>
        <w:pStyle w:val="ListParagraph"/>
        <w:rPr>
          <w:rFonts w:ascii="Garamond" w:eastAsia="Times New Roman" w:hAnsi="Garamond" w:cs="Times New Roman"/>
        </w:rPr>
      </w:pPr>
    </w:p>
    <w:p w14:paraId="57EC46B6" w14:textId="520E9EE3"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Relation to rank and number of years served.</w:t>
      </w:r>
      <w:r w:rsidRPr="00561DB0">
        <w:rPr>
          <w:rFonts w:ascii="Garamond" w:eastAsia="Times New Roman" w:hAnsi="Garamond" w:cs="Times New Roman"/>
        </w:rPr>
        <w:t xml:space="preserve"> New faculty members typically start with localized departmental service and build their efforts over time. It is expected that institutional service will increase in the years after tenure, with faculty assuming a greater level of responsibility for providing academic leadership within the</w:t>
      </w:r>
      <w:r w:rsidR="00940579">
        <w:rPr>
          <w:rFonts w:ascii="Garamond" w:eastAsia="Times New Roman" w:hAnsi="Garamond" w:cs="Times New Roman"/>
        </w:rPr>
        <w:t xml:space="preserve"> department, college,</w:t>
      </w:r>
      <w:r w:rsidRPr="00561DB0">
        <w:rPr>
          <w:rFonts w:ascii="Garamond" w:eastAsia="Times New Roman" w:hAnsi="Garamond" w:cs="Times New Roman"/>
        </w:rPr>
        <w:t xml:space="preserve"> university as well as to the profession. </w:t>
      </w:r>
    </w:p>
    <w:p w14:paraId="1E619A66" w14:textId="77777777" w:rsidR="00BC2693" w:rsidRPr="00561DB0" w:rsidRDefault="00BC2693" w:rsidP="00BC2693">
      <w:pPr>
        <w:pStyle w:val="ListParagraph"/>
        <w:rPr>
          <w:rFonts w:ascii="Garamond" w:eastAsia="Times New Roman" w:hAnsi="Garamond" w:cs="Times New Roman"/>
        </w:rPr>
      </w:pPr>
    </w:p>
    <w:p w14:paraId="216CEC36" w14:textId="43C48FC2"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Leadership roles.</w:t>
      </w:r>
      <w:r w:rsidRPr="00561DB0">
        <w:rPr>
          <w:rFonts w:ascii="Garamond" w:eastAsia="Times New Roman" w:hAnsi="Garamond" w:cs="Times New Roman"/>
        </w:rPr>
        <w:t xml:space="preserve"> Evaluators are encouraged to consider whether a candidate was in a leadership position within the service role (e.g., committee chair</w:t>
      </w:r>
      <w:r w:rsidR="00940579">
        <w:rPr>
          <w:rFonts w:ascii="Garamond" w:eastAsia="Times New Roman" w:hAnsi="Garamond" w:cs="Times New Roman"/>
        </w:rPr>
        <w:t>, program director or department chair</w:t>
      </w:r>
      <w:r w:rsidRPr="00561DB0">
        <w:rPr>
          <w:rFonts w:ascii="Garamond" w:eastAsia="Times New Roman" w:hAnsi="Garamond" w:cs="Times New Roman"/>
        </w:rPr>
        <w:t>) that requires more time and effort.</w:t>
      </w:r>
    </w:p>
    <w:p w14:paraId="6AAE8D16" w14:textId="77777777" w:rsidR="00BC2693" w:rsidRPr="00561DB0" w:rsidRDefault="00BC2693" w:rsidP="00BC2693">
      <w:pPr>
        <w:pStyle w:val="ListParagraph"/>
        <w:rPr>
          <w:rFonts w:ascii="Garamond" w:eastAsia="Times New Roman" w:hAnsi="Garamond" w:cs="Times New Roman"/>
        </w:rPr>
      </w:pPr>
    </w:p>
    <w:p w14:paraId="45676B0B" w14:textId="77777777"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Balance and proportion.</w:t>
      </w:r>
      <w:r w:rsidRPr="00561DB0">
        <w:rPr>
          <w:rFonts w:ascii="Garamond" w:eastAsia="Times New Roman" w:hAnsi="Garamond" w:cs="Times New Roman"/>
        </w:rPr>
        <w:t xml:space="preserve"> Faculty members are encouraged to distribute their service efforts across multiple areas rather than to concentrate on just one form of service unless they have been assigned to an unusually demanding service role (e.g., president of Faculty Senate). It is also appropriate for departments to set different expectations regarding service proportions for pre-</w:t>
      </w:r>
      <w:proofErr w:type="spellStart"/>
      <w:r w:rsidRPr="00561DB0">
        <w:rPr>
          <w:rFonts w:ascii="Garamond" w:eastAsia="Times New Roman" w:hAnsi="Garamond" w:cs="Times New Roman"/>
        </w:rPr>
        <w:t>tenure</w:t>
      </w:r>
      <w:proofErr w:type="spellEnd"/>
      <w:r w:rsidRPr="00561DB0">
        <w:rPr>
          <w:rFonts w:ascii="Garamond" w:eastAsia="Times New Roman" w:hAnsi="Garamond" w:cs="Times New Roman"/>
        </w:rPr>
        <w:t xml:space="preserve"> faculty. </w:t>
      </w:r>
    </w:p>
    <w:p w14:paraId="2B826DF9" w14:textId="77777777" w:rsidR="00BC2693" w:rsidRPr="00561DB0" w:rsidRDefault="00BC2693" w:rsidP="00BC2693">
      <w:pPr>
        <w:pStyle w:val="ListParagraph"/>
        <w:rPr>
          <w:rFonts w:ascii="Garamond" w:eastAsia="Times New Roman" w:hAnsi="Garamond" w:cs="Times New Roman"/>
        </w:rPr>
      </w:pPr>
    </w:p>
    <w:p w14:paraId="45C1AF4A" w14:textId="77777777"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Duration.</w:t>
      </w:r>
      <w:r w:rsidRPr="00561DB0">
        <w:rPr>
          <w:rFonts w:ascii="Garamond" w:eastAsia="Times New Roman" w:hAnsi="Garamond" w:cs="Times New Roman"/>
        </w:rPr>
        <w:t xml:space="preserve"> Faculty members should be rewarded for continuity in their service roles and for committing to responsibilities that optimize their skill sets. At the same time, they should also be encouraged to explore new forms of service after a certain amount of time in order to promote fresh thinking. When it comes to institutional service in particular, stasis in service roles can sometimes undermine progress both for the individual and the institution. </w:t>
      </w:r>
    </w:p>
    <w:p w14:paraId="326E8ED0" w14:textId="77777777" w:rsidR="00BC2693" w:rsidRPr="00561DB0" w:rsidRDefault="00BC2693" w:rsidP="00BC2693">
      <w:pPr>
        <w:rPr>
          <w:rFonts w:ascii="Garamond" w:eastAsia="Times New Roman" w:hAnsi="Garamond" w:cs="Times New Roman"/>
        </w:rPr>
      </w:pPr>
    </w:p>
    <w:p w14:paraId="56698EBD" w14:textId="37DC0956" w:rsidR="00BC2693" w:rsidRPr="00561DB0" w:rsidRDefault="00BC2693" w:rsidP="00BC2693">
      <w:pPr>
        <w:pStyle w:val="ListParagraph"/>
        <w:numPr>
          <w:ilvl w:val="0"/>
          <w:numId w:val="5"/>
        </w:numPr>
        <w:rPr>
          <w:rFonts w:ascii="Garamond" w:eastAsia="Times New Roman" w:hAnsi="Garamond" w:cs="Times New Roman"/>
        </w:rPr>
      </w:pPr>
      <w:r w:rsidRPr="00561DB0">
        <w:rPr>
          <w:rFonts w:ascii="Garamond" w:eastAsia="Times New Roman" w:hAnsi="Garamond" w:cs="Times New Roman"/>
          <w:b/>
        </w:rPr>
        <w:t>Role of significant service.</w:t>
      </w:r>
      <w:r w:rsidRPr="00561DB0">
        <w:rPr>
          <w:rFonts w:ascii="Garamond" w:eastAsia="Times New Roman" w:hAnsi="Garamond" w:cs="Times New Roman"/>
        </w:rPr>
        <w:t xml:space="preserve"> Certain forms of service require an above average commitment (e.g., </w:t>
      </w:r>
      <w:r w:rsidR="00940579">
        <w:rPr>
          <w:rFonts w:ascii="Garamond" w:eastAsia="Times New Roman" w:hAnsi="Garamond" w:cs="Times New Roman"/>
        </w:rPr>
        <w:t xml:space="preserve">department, </w:t>
      </w:r>
      <w:r w:rsidRPr="00561DB0">
        <w:rPr>
          <w:rFonts w:ascii="Garamond" w:eastAsia="Times New Roman" w:hAnsi="Garamond" w:cs="Times New Roman"/>
        </w:rPr>
        <w:t>program, institute, or center director</w:t>
      </w:r>
      <w:r w:rsidR="00940579">
        <w:rPr>
          <w:rFonts w:ascii="Garamond" w:eastAsia="Times New Roman" w:hAnsi="Garamond" w:cs="Times New Roman"/>
        </w:rPr>
        <w:t>/chair</w:t>
      </w:r>
      <w:r w:rsidRPr="00561DB0">
        <w:rPr>
          <w:rFonts w:ascii="Garamond" w:eastAsia="Times New Roman" w:hAnsi="Garamond" w:cs="Times New Roman"/>
        </w:rPr>
        <w:t xml:space="preserve">, or significant work for the faculty union). Such service should be recognized and valued for its importance to the institution. </w:t>
      </w:r>
    </w:p>
    <w:p w14:paraId="2A95C5F3" w14:textId="77777777" w:rsidR="00BC2693" w:rsidRPr="00561DB0" w:rsidRDefault="00BC2693" w:rsidP="00BC2693">
      <w:pPr>
        <w:pStyle w:val="ListParagraph"/>
        <w:rPr>
          <w:rFonts w:ascii="Garamond" w:hAnsi="Garamond"/>
        </w:rPr>
      </w:pPr>
    </w:p>
    <w:p w14:paraId="4ED7B439" w14:textId="2E828AE0" w:rsidR="00BC2693" w:rsidRPr="00561DB0" w:rsidRDefault="00BC2693" w:rsidP="00BC2693">
      <w:pPr>
        <w:pStyle w:val="ListParagraph"/>
        <w:numPr>
          <w:ilvl w:val="0"/>
          <w:numId w:val="5"/>
        </w:numPr>
        <w:rPr>
          <w:rFonts w:ascii="Garamond" w:hAnsi="Garamond"/>
        </w:rPr>
      </w:pPr>
      <w:r w:rsidRPr="00561DB0">
        <w:rPr>
          <w:rFonts w:ascii="Garamond" w:hAnsi="Garamond"/>
          <w:b/>
        </w:rPr>
        <w:t>Minority faculty members and service</w:t>
      </w:r>
      <w:r w:rsidRPr="00561DB0">
        <w:rPr>
          <w:rFonts w:ascii="Garamond" w:hAnsi="Garamond"/>
        </w:rPr>
        <w:t xml:space="preserve">. Evaluators are encouraged to recognize and value the hidden service often performed by minority faculty members, who often receive a disproportionate number of requests for mentorship and role modeling from both students and their faculty peers. Minority faculty tend to guide, advise, coach and generally commit substantial time and energy to minority students both within and external to their home departments. Although such mentorship is not always formalized, studies show that it can play a crucial role in student retention. </w:t>
      </w:r>
    </w:p>
    <w:p w14:paraId="4429CA58" w14:textId="77777777" w:rsidR="00BC2693" w:rsidRPr="00561DB0" w:rsidRDefault="00BC2693" w:rsidP="00BC2693">
      <w:pPr>
        <w:rPr>
          <w:rFonts w:ascii="Garamond" w:hAnsi="Garamond"/>
        </w:rPr>
      </w:pPr>
    </w:p>
    <w:p w14:paraId="1244716E" w14:textId="77777777" w:rsidR="00BC2693" w:rsidRPr="00561DB0" w:rsidRDefault="00BC2693" w:rsidP="00BC2693">
      <w:pPr>
        <w:rPr>
          <w:rFonts w:ascii="Garamond" w:hAnsi="Garamond"/>
        </w:rPr>
      </w:pPr>
    </w:p>
    <w:p w14:paraId="66C04C2B" w14:textId="27CEC407" w:rsidR="00BC2693" w:rsidRPr="00561DB0" w:rsidRDefault="00BC2693" w:rsidP="00BC2693">
      <w:pPr>
        <w:rPr>
          <w:rFonts w:ascii="Garamond" w:hAnsi="Garamond"/>
          <w:b/>
          <w:sz w:val="40"/>
          <w:szCs w:val="32"/>
        </w:rPr>
      </w:pPr>
      <w:r>
        <w:rPr>
          <w:rFonts w:ascii="Garamond" w:hAnsi="Garamond"/>
          <w:b/>
          <w:sz w:val="40"/>
          <w:szCs w:val="32"/>
        </w:rPr>
        <w:t>I</w:t>
      </w:r>
      <w:r w:rsidRPr="00561DB0">
        <w:rPr>
          <w:rFonts w:ascii="Garamond" w:hAnsi="Garamond"/>
          <w:b/>
          <w:sz w:val="40"/>
          <w:szCs w:val="32"/>
        </w:rPr>
        <w:t>V. TIMELINES</w:t>
      </w:r>
      <w:r w:rsidR="007E7BA7">
        <w:rPr>
          <w:rFonts w:ascii="Garamond" w:hAnsi="Garamond"/>
          <w:b/>
          <w:sz w:val="40"/>
          <w:szCs w:val="32"/>
        </w:rPr>
        <w:t xml:space="preserve"> AND EXPECTATIONS</w:t>
      </w:r>
    </w:p>
    <w:p w14:paraId="7A370B33" w14:textId="77777777" w:rsidR="00BC2693" w:rsidRPr="00561DB0" w:rsidRDefault="00BC2693" w:rsidP="00BC2693">
      <w:pPr>
        <w:rPr>
          <w:rFonts w:ascii="Garamond" w:hAnsi="Garamond"/>
        </w:rPr>
      </w:pPr>
    </w:p>
    <w:p w14:paraId="2CB58DDA" w14:textId="41A8E6EE" w:rsidR="00BC2693" w:rsidRPr="00561DB0" w:rsidRDefault="00BC2693" w:rsidP="00BC2693">
      <w:pPr>
        <w:pStyle w:val="ListParagraph"/>
        <w:numPr>
          <w:ilvl w:val="0"/>
          <w:numId w:val="1"/>
        </w:numPr>
      </w:pPr>
      <w:r w:rsidRPr="00561DB0">
        <w:rPr>
          <w:rFonts w:ascii="Garamond" w:hAnsi="Garamond"/>
          <w:b/>
        </w:rPr>
        <w:t xml:space="preserve">Assistant to Associate. </w:t>
      </w:r>
      <w:r w:rsidRPr="00561DB0">
        <w:rPr>
          <w:rFonts w:ascii="Garamond" w:eastAsia="Times New Roman" w:hAnsi="Garamond" w:cs="Times New Roman"/>
        </w:rPr>
        <w:t xml:space="preserve">For </w:t>
      </w:r>
      <w:r w:rsidR="00010878">
        <w:rPr>
          <w:rFonts w:ascii="Garamond" w:eastAsia="Times New Roman" w:hAnsi="Garamond" w:cs="Times New Roman"/>
        </w:rPr>
        <w:t>the College of Arts and Letters</w:t>
      </w:r>
      <w:r w:rsidRPr="00561DB0">
        <w:rPr>
          <w:rFonts w:ascii="Garamond" w:eastAsia="Times New Roman" w:hAnsi="Garamond" w:cs="Times New Roman"/>
        </w:rPr>
        <w:t xml:space="preserve">, the timeline for achieving both tenure and promotion from Assistant to Associate is five years, with the tenure/promotion review occurring in the sixth year. </w:t>
      </w:r>
    </w:p>
    <w:p w14:paraId="4C0FB471" w14:textId="77777777" w:rsidR="00BC2693" w:rsidRPr="00561DB0" w:rsidRDefault="00BC2693" w:rsidP="00BC2693">
      <w:pPr>
        <w:pStyle w:val="ListParagraph"/>
      </w:pPr>
    </w:p>
    <w:p w14:paraId="118A4180" w14:textId="47C25F1A" w:rsidR="00BC2693" w:rsidRPr="00561DB0" w:rsidRDefault="00BC2693" w:rsidP="00BC2693">
      <w:pPr>
        <w:pStyle w:val="ListParagraph"/>
        <w:numPr>
          <w:ilvl w:val="0"/>
          <w:numId w:val="1"/>
        </w:numPr>
        <w:rPr>
          <w:rFonts w:ascii="Garamond" w:hAnsi="Garamond"/>
        </w:rPr>
      </w:pPr>
      <w:r w:rsidRPr="00561DB0">
        <w:rPr>
          <w:rFonts w:ascii="Garamond" w:eastAsia="Times New Roman" w:hAnsi="Garamond" w:cs="Times New Roman"/>
          <w:b/>
        </w:rPr>
        <w:t xml:space="preserve">Associate to Professor. </w:t>
      </w:r>
      <w:r w:rsidRPr="00561DB0">
        <w:rPr>
          <w:rFonts w:ascii="Garamond" w:eastAsia="Times New Roman" w:hAnsi="Garamond" w:cs="Times New Roman"/>
        </w:rPr>
        <w:t>Associate professors applying for full Professor typically present themselves for promotion a minimum of five years after their promotion to Associate, since it takes time to build the sustained record of research excellence or creative activity required by this rank, which can only be earned by faculty who are nationally recognized as advanced leaders in their field of specialization.</w:t>
      </w:r>
      <w:r w:rsidR="007E7BA7">
        <w:rPr>
          <w:rFonts w:ascii="Garamond" w:eastAsia="Times New Roman" w:hAnsi="Garamond" w:cs="Times New Roman"/>
        </w:rPr>
        <w:t xml:space="preserve"> </w:t>
      </w:r>
      <w:r w:rsidR="005B3819">
        <w:rPr>
          <w:rFonts w:ascii="Garamond" w:eastAsia="Times New Roman" w:hAnsi="Garamond" w:cs="Times New Roman"/>
        </w:rPr>
        <w:t>Evidence of national prominence might include but is not limited to</w:t>
      </w:r>
      <w:r w:rsidR="0057093D">
        <w:rPr>
          <w:rFonts w:ascii="Garamond" w:eastAsia="Times New Roman" w:hAnsi="Garamond" w:cs="Times New Roman"/>
        </w:rPr>
        <w:t xml:space="preserve"> publication in prestigious venues such as well-regarded publishing houses or highly ranked journals,</w:t>
      </w:r>
      <w:r w:rsidR="005B3819">
        <w:rPr>
          <w:rFonts w:ascii="Garamond" w:eastAsia="Times New Roman" w:hAnsi="Garamond" w:cs="Times New Roman"/>
        </w:rPr>
        <w:t xml:space="preserve"> </w:t>
      </w:r>
      <w:r w:rsidR="0057093D">
        <w:rPr>
          <w:rFonts w:ascii="Garamond" w:eastAsia="Times New Roman" w:hAnsi="Garamond" w:cs="Times New Roman"/>
        </w:rPr>
        <w:t>serving as a reviewer for highly ranked</w:t>
      </w:r>
      <w:r w:rsidR="005B3819">
        <w:rPr>
          <w:rFonts w:ascii="Garamond" w:eastAsia="Times New Roman" w:hAnsi="Garamond" w:cs="Times New Roman"/>
        </w:rPr>
        <w:t xml:space="preserve"> peer-reviewed venues, invited lectures, invited book chapters, service on editorial boards, national awards, </w:t>
      </w:r>
      <w:r w:rsidR="005D3BC9">
        <w:rPr>
          <w:rFonts w:ascii="Garamond" w:eastAsia="Times New Roman" w:hAnsi="Garamond" w:cs="Times New Roman"/>
        </w:rPr>
        <w:t xml:space="preserve">external </w:t>
      </w:r>
      <w:r w:rsidR="0057093D">
        <w:rPr>
          <w:rFonts w:ascii="Garamond" w:eastAsia="Times New Roman" w:hAnsi="Garamond" w:cs="Times New Roman"/>
        </w:rPr>
        <w:t xml:space="preserve">grants, </w:t>
      </w:r>
      <w:r w:rsidR="005B3819">
        <w:rPr>
          <w:rFonts w:ascii="Garamond" w:eastAsia="Times New Roman" w:hAnsi="Garamond" w:cs="Times New Roman"/>
        </w:rPr>
        <w:t xml:space="preserve">conference organization, or special journal editing. </w:t>
      </w:r>
      <w:r w:rsidR="007E7BA7" w:rsidRPr="00ED55A3">
        <w:rPr>
          <w:rFonts w:ascii="Garamond" w:eastAsia="Times New Roman" w:hAnsi="Garamond" w:cs="Times New Roman"/>
        </w:rPr>
        <w:t>The quality and national reputation of an Associate Professor’s res</w:t>
      </w:r>
      <w:r w:rsidR="00546D2C" w:rsidRPr="00ED55A3">
        <w:rPr>
          <w:rFonts w:ascii="Garamond" w:eastAsia="Times New Roman" w:hAnsi="Garamond" w:cs="Times New Roman"/>
        </w:rPr>
        <w:t>e</w:t>
      </w:r>
      <w:r w:rsidR="007E7BA7" w:rsidRPr="00ED55A3">
        <w:rPr>
          <w:rFonts w:ascii="Garamond" w:eastAsia="Times New Roman" w:hAnsi="Garamond" w:cs="Times New Roman"/>
        </w:rPr>
        <w:t>arch and scholarship are not the only evaluative criteria used to review candidates for full Professor. In the College of Arts and Letters, Associate professors applying for Professor should</w:t>
      </w:r>
      <w:r w:rsidR="002D11B4" w:rsidRPr="00ED55A3">
        <w:rPr>
          <w:rFonts w:ascii="Garamond" w:eastAsia="Times New Roman" w:hAnsi="Garamond" w:cs="Times New Roman"/>
        </w:rPr>
        <w:t xml:space="preserve"> excel in at least two of the three evaluative categories—teaching, research, and service—and be deemed</w:t>
      </w:r>
      <w:r w:rsidR="005B3819" w:rsidRPr="00ED55A3">
        <w:rPr>
          <w:rFonts w:ascii="Garamond" w:eastAsia="Times New Roman" w:hAnsi="Garamond" w:cs="Times New Roman"/>
        </w:rPr>
        <w:t xml:space="preserve"> proficient</w:t>
      </w:r>
      <w:r w:rsidR="002D11B4" w:rsidRPr="00ED55A3">
        <w:rPr>
          <w:rFonts w:ascii="Garamond" w:eastAsia="Times New Roman" w:hAnsi="Garamond" w:cs="Times New Roman"/>
        </w:rPr>
        <w:t xml:space="preserve"> in the third. </w:t>
      </w:r>
      <w:r w:rsidR="002C72C0" w:rsidRPr="00ED55A3">
        <w:rPr>
          <w:rFonts w:ascii="Garamond" w:eastAsia="Times New Roman" w:hAnsi="Garamond" w:cs="Times New Roman"/>
        </w:rPr>
        <w:t xml:space="preserve">Full Professors should not isolate themselves from any one area of </w:t>
      </w:r>
      <w:r w:rsidR="00D015BE" w:rsidRPr="00ED55A3">
        <w:rPr>
          <w:rFonts w:ascii="Garamond" w:eastAsia="Times New Roman" w:hAnsi="Garamond" w:cs="Times New Roman"/>
        </w:rPr>
        <w:t xml:space="preserve">the faculty experience. </w:t>
      </w:r>
      <w:r w:rsidR="005B3819" w:rsidRPr="00ED55A3">
        <w:rPr>
          <w:rFonts w:ascii="Garamond" w:eastAsia="Times New Roman" w:hAnsi="Garamond" w:cs="Times New Roman"/>
        </w:rPr>
        <w:t>H</w:t>
      </w:r>
      <w:r w:rsidR="002D11B4" w:rsidRPr="00ED55A3">
        <w:rPr>
          <w:rFonts w:ascii="Garamond" w:eastAsia="Times New Roman" w:hAnsi="Garamond" w:cs="Times New Roman"/>
        </w:rPr>
        <w:t xml:space="preserve">igh levels of professional conduct </w:t>
      </w:r>
      <w:r w:rsidR="005B3819" w:rsidRPr="00ED55A3">
        <w:rPr>
          <w:rFonts w:ascii="Garamond" w:eastAsia="Times New Roman" w:hAnsi="Garamond" w:cs="Times New Roman"/>
        </w:rPr>
        <w:t>are expected</w:t>
      </w:r>
      <w:r w:rsidR="00E64365" w:rsidRPr="00ED55A3">
        <w:rPr>
          <w:rFonts w:ascii="Garamond" w:eastAsia="Times New Roman" w:hAnsi="Garamond" w:cs="Times New Roman"/>
        </w:rPr>
        <w:t xml:space="preserve"> from all candidates</w:t>
      </w:r>
      <w:r w:rsidR="00EA4BCF" w:rsidRPr="00ED55A3">
        <w:rPr>
          <w:rFonts w:ascii="Garamond" w:eastAsia="Times New Roman" w:hAnsi="Garamond" w:cs="Times New Roman"/>
        </w:rPr>
        <w:t xml:space="preserve">, and </w:t>
      </w:r>
      <w:r w:rsidR="00E64365" w:rsidRPr="00ED55A3">
        <w:rPr>
          <w:rFonts w:ascii="Garamond" w:eastAsia="Times New Roman" w:hAnsi="Garamond" w:cs="Times New Roman"/>
        </w:rPr>
        <w:t xml:space="preserve">these </w:t>
      </w:r>
      <w:r w:rsidR="00EA4BCF" w:rsidRPr="00ED55A3">
        <w:rPr>
          <w:rFonts w:ascii="Garamond" w:eastAsia="Times New Roman" w:hAnsi="Garamond" w:cs="Times New Roman"/>
        </w:rPr>
        <w:t xml:space="preserve">candidates should demonstrate </w:t>
      </w:r>
      <w:r w:rsidR="007D2DF0" w:rsidRPr="00ED55A3">
        <w:rPr>
          <w:rFonts w:ascii="Garamond" w:eastAsia="Times New Roman" w:hAnsi="Garamond" w:cs="Times New Roman"/>
        </w:rPr>
        <w:t>leadership in teaching and service.</w:t>
      </w:r>
      <w:r w:rsidR="007D2DF0">
        <w:rPr>
          <w:rFonts w:ascii="Garamond" w:eastAsia="Times New Roman" w:hAnsi="Garamond" w:cs="Times New Roman"/>
        </w:rPr>
        <w:t xml:space="preserve"> For example, candidates for Professor might mentor junior faculty, lead </w:t>
      </w:r>
      <w:r w:rsidR="008E6A1E">
        <w:rPr>
          <w:rFonts w:ascii="Garamond" w:eastAsia="Times New Roman" w:hAnsi="Garamond" w:cs="Times New Roman"/>
        </w:rPr>
        <w:t>college- and university-level committees and councils</w:t>
      </w:r>
      <w:r w:rsidR="007D2DF0">
        <w:rPr>
          <w:rFonts w:ascii="Garamond" w:eastAsia="Times New Roman" w:hAnsi="Garamond" w:cs="Times New Roman"/>
        </w:rPr>
        <w:t xml:space="preserve">, </w:t>
      </w:r>
      <w:r w:rsidR="0057093D">
        <w:rPr>
          <w:rFonts w:ascii="Garamond" w:eastAsia="Times New Roman" w:hAnsi="Garamond" w:cs="Times New Roman"/>
        </w:rPr>
        <w:t xml:space="preserve">take leadership roles in prominent professional organizations, </w:t>
      </w:r>
      <w:r w:rsidR="00AA1E0D">
        <w:rPr>
          <w:rFonts w:ascii="Garamond" w:eastAsia="Times New Roman" w:hAnsi="Garamond" w:cs="Times New Roman"/>
        </w:rPr>
        <w:t xml:space="preserve">direct programs, </w:t>
      </w:r>
      <w:r w:rsidR="00ED0A62">
        <w:rPr>
          <w:rFonts w:ascii="Garamond" w:eastAsia="Times New Roman" w:hAnsi="Garamond" w:cs="Times New Roman"/>
        </w:rPr>
        <w:t xml:space="preserve">or show leadership in the application of research to societal needs. </w:t>
      </w:r>
    </w:p>
    <w:p w14:paraId="7FFF74EF" w14:textId="77777777" w:rsidR="00BC2693" w:rsidRPr="00561DB0" w:rsidRDefault="00BC2693" w:rsidP="00BC2693">
      <w:pPr>
        <w:pStyle w:val="ListParagraph"/>
        <w:rPr>
          <w:rFonts w:ascii="Garamond" w:hAnsi="Garamond"/>
        </w:rPr>
      </w:pPr>
    </w:p>
    <w:p w14:paraId="177A0B51" w14:textId="77777777" w:rsidR="00BC2693" w:rsidRPr="00561DB0" w:rsidRDefault="00BC2693" w:rsidP="00BC2693">
      <w:pPr>
        <w:pStyle w:val="ListParagraph"/>
        <w:numPr>
          <w:ilvl w:val="0"/>
          <w:numId w:val="1"/>
        </w:numPr>
        <w:rPr>
          <w:rFonts w:ascii="Garamond" w:hAnsi="Garamond"/>
        </w:rPr>
      </w:pPr>
      <w:r w:rsidRPr="00561DB0">
        <w:rPr>
          <w:rFonts w:ascii="Garamond" w:eastAsia="Times New Roman" w:hAnsi="Garamond" w:cs="Times New Roman"/>
          <w:b/>
        </w:rPr>
        <w:t xml:space="preserve">Early promotion. </w:t>
      </w:r>
      <w:r w:rsidRPr="00561DB0">
        <w:rPr>
          <w:rFonts w:ascii="Garamond" w:eastAsia="Times New Roman" w:hAnsi="Garamond" w:cs="Times New Roman"/>
        </w:rPr>
        <w:t xml:space="preserve">Candidates who apply for early promotion are evaluated using the same criteria that would be applied if the full duration of the probationary period had been used. All levels of committees and administrators </w:t>
      </w:r>
      <w:r w:rsidRPr="00561DB0">
        <w:rPr>
          <w:rFonts w:ascii="Garamond" w:hAnsi="Garamond" w:cs="AppleSystemUIFont"/>
          <w:color w:val="353535"/>
        </w:rPr>
        <w:t>should explain clearly in their recommendation why they feel that early promotion/tenure is warranted based on performance.</w:t>
      </w:r>
    </w:p>
    <w:p w14:paraId="4010D35B" w14:textId="77777777" w:rsidR="00BC2693" w:rsidRPr="00561DB0" w:rsidRDefault="00BC2693" w:rsidP="00BC2693">
      <w:pPr>
        <w:pStyle w:val="ListParagraph"/>
      </w:pPr>
    </w:p>
    <w:p w14:paraId="608914FC" w14:textId="1D72A4D9" w:rsidR="00BC2693" w:rsidRPr="00561DB0" w:rsidRDefault="00BC2693" w:rsidP="00BC2693">
      <w:pPr>
        <w:pStyle w:val="ListParagraph"/>
        <w:numPr>
          <w:ilvl w:val="0"/>
          <w:numId w:val="1"/>
        </w:numPr>
      </w:pPr>
      <w:r w:rsidRPr="00561DB0">
        <w:rPr>
          <w:rFonts w:ascii="Garamond" w:eastAsia="Times New Roman" w:hAnsi="Garamond" w:cs="Times New Roman"/>
          <w:b/>
        </w:rPr>
        <w:lastRenderedPageBreak/>
        <w:t>Advance notice.</w:t>
      </w:r>
      <w:r w:rsidRPr="00561DB0">
        <w:rPr>
          <w:rFonts w:ascii="Garamond" w:eastAsia="Times New Roman" w:hAnsi="Garamond" w:cs="Times New Roman"/>
        </w:rPr>
        <w:t xml:space="preserve"> Candidates for promotion shall declare their intent to seek promotion for the following fall semester </w:t>
      </w:r>
      <w:r w:rsidRPr="00561DB0">
        <w:rPr>
          <w:rFonts w:ascii="Garamond" w:eastAsia="Times New Roman" w:hAnsi="Garamond" w:cs="Times New Roman"/>
          <w:b/>
        </w:rPr>
        <w:t xml:space="preserve">no later than </w:t>
      </w:r>
      <w:r w:rsidRPr="00561DB0">
        <w:rPr>
          <w:rFonts w:ascii="Garamond" w:eastAsia="Times New Roman" w:hAnsi="Garamond" w:cs="Times New Roman"/>
          <w:b/>
          <w:color w:val="000000"/>
        </w:rPr>
        <w:t>the Monday of the last week in March.</w:t>
      </w:r>
      <w:r w:rsidRPr="00561DB0">
        <w:rPr>
          <w:rFonts w:ascii="Garamond" w:eastAsia="Times New Roman" w:hAnsi="Garamond" w:cs="Times New Roman"/>
          <w:color w:val="000000"/>
        </w:rPr>
        <w:t xml:space="preserve"> This request shall</w:t>
      </w:r>
      <w:r w:rsidR="00B2521A">
        <w:rPr>
          <w:rFonts w:ascii="Garamond" w:eastAsia="Times New Roman" w:hAnsi="Garamond" w:cs="Times New Roman"/>
          <w:color w:val="000000"/>
        </w:rPr>
        <w:t>:</w:t>
      </w:r>
    </w:p>
    <w:p w14:paraId="05F6F9F7" w14:textId="77777777" w:rsidR="00BC2693" w:rsidRPr="00561DB0" w:rsidRDefault="00BC2693" w:rsidP="00BC2693">
      <w:pPr>
        <w:pStyle w:val="ListParagraph"/>
      </w:pPr>
    </w:p>
    <w:p w14:paraId="6EE03A37" w14:textId="77777777" w:rsidR="00BC2693" w:rsidRPr="00561DB0" w:rsidRDefault="00BC2693" w:rsidP="00BC2693">
      <w:pPr>
        <w:pStyle w:val="ListParagraph"/>
        <w:numPr>
          <w:ilvl w:val="1"/>
          <w:numId w:val="1"/>
        </w:numPr>
      </w:pPr>
      <w:r w:rsidRPr="00561DB0">
        <w:rPr>
          <w:rFonts w:ascii="Garamond" w:eastAsia="Times New Roman" w:hAnsi="Garamond" w:cs="Times New Roman"/>
          <w:color w:val="000000"/>
        </w:rPr>
        <w:t>be made in writing,</w:t>
      </w:r>
    </w:p>
    <w:p w14:paraId="2B2646BE" w14:textId="77777777" w:rsidR="00BC2693" w:rsidRPr="00561DB0" w:rsidRDefault="00BC2693" w:rsidP="00BC2693">
      <w:pPr>
        <w:pStyle w:val="ListParagraph"/>
        <w:numPr>
          <w:ilvl w:val="1"/>
          <w:numId w:val="1"/>
        </w:numPr>
      </w:pPr>
      <w:r w:rsidRPr="00561DB0">
        <w:rPr>
          <w:rFonts w:ascii="Garamond" w:eastAsia="Times New Roman" w:hAnsi="Garamond" w:cs="Times New Roman"/>
          <w:color w:val="000000"/>
        </w:rPr>
        <w:t>include the candidate’s list of suggested names of external reviewers, and</w:t>
      </w:r>
    </w:p>
    <w:p w14:paraId="7787F66C" w14:textId="65F1C186" w:rsidR="003B07C0" w:rsidRPr="005D3BC9" w:rsidRDefault="00BC2693" w:rsidP="004D4D0B">
      <w:pPr>
        <w:pStyle w:val="ListParagraph"/>
        <w:numPr>
          <w:ilvl w:val="1"/>
          <w:numId w:val="1"/>
        </w:numPr>
      </w:pPr>
      <w:r w:rsidRPr="00B2521A">
        <w:rPr>
          <w:rFonts w:ascii="Garamond" w:eastAsia="Times New Roman" w:hAnsi="Garamond" w:cs="Times New Roman"/>
          <w:color w:val="000000"/>
        </w:rPr>
        <w:t>be sent to the Department Chair and copied to the candidate’s Dean.</w:t>
      </w:r>
    </w:p>
    <w:p w14:paraId="628B910F" w14:textId="77777777" w:rsidR="00AE2DF8" w:rsidRDefault="00AE2DF8" w:rsidP="00B2521A">
      <w:pPr>
        <w:pStyle w:val="ListParagraph"/>
        <w:numPr>
          <w:ilvl w:val="1"/>
          <w:numId w:val="1"/>
        </w:numPr>
      </w:pPr>
    </w:p>
    <w:sectPr w:rsidR="00AE2DF8" w:rsidSect="00940579">
      <w:pgSz w:w="12240" w:h="15840"/>
      <w:pgMar w:top="1440" w:right="1440" w:bottom="1440" w:left="1440" w:header="720" w:footer="720" w:gutter="0"/>
      <w:lnNumType w:countBy="1" w:restart="continuou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3054" w14:textId="77777777" w:rsidR="00DB7DD2" w:rsidRDefault="00DB7DD2" w:rsidP="00BC2693">
      <w:r>
        <w:separator/>
      </w:r>
    </w:p>
  </w:endnote>
  <w:endnote w:type="continuationSeparator" w:id="0">
    <w:p w14:paraId="196512EC" w14:textId="77777777" w:rsidR="00DB7DD2" w:rsidRDefault="00DB7DD2" w:rsidP="00B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B09A" w14:textId="77777777" w:rsidR="004A67B4" w:rsidRDefault="004A67B4" w:rsidP="00940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1E6DB" w14:textId="77777777" w:rsidR="004A67B4" w:rsidRDefault="004A67B4" w:rsidP="00940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2177" w14:textId="77777777" w:rsidR="004A67B4" w:rsidRDefault="004A67B4" w:rsidP="00940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EADF" w14:textId="77777777" w:rsidR="00DB7DD2" w:rsidRDefault="00DB7DD2" w:rsidP="00BC2693">
      <w:r>
        <w:separator/>
      </w:r>
    </w:p>
  </w:footnote>
  <w:footnote w:type="continuationSeparator" w:id="0">
    <w:p w14:paraId="044E94E3" w14:textId="77777777" w:rsidR="00DB7DD2" w:rsidRDefault="00DB7DD2" w:rsidP="00BC2693">
      <w:r>
        <w:continuationSeparator/>
      </w:r>
    </w:p>
  </w:footnote>
  <w:footnote w:id="1">
    <w:p w14:paraId="7F9562B1" w14:textId="25D8FD8C" w:rsidR="004A67B4" w:rsidRPr="00134835" w:rsidRDefault="004A67B4" w:rsidP="00BC2693">
      <w:pPr>
        <w:pStyle w:val="FootnoteText"/>
        <w:rPr>
          <w:rFonts w:ascii="Garamond" w:hAnsi="Garamond"/>
        </w:rPr>
      </w:pPr>
      <w:r w:rsidRPr="00134835">
        <w:rPr>
          <w:rStyle w:val="FootnoteReference"/>
          <w:rFonts w:ascii="Garamond" w:hAnsi="Garamond"/>
        </w:rPr>
        <w:footnoteRef/>
      </w:r>
      <w:r w:rsidRPr="00134835">
        <w:rPr>
          <w:rFonts w:ascii="Garamond" w:hAnsi="Garamond"/>
        </w:rPr>
        <w:t xml:space="preserve"> The term elaborations in this document is used to define elaborations for bargaining unit faculty elaborations and/or faculty rules, regulations, and </w:t>
      </w:r>
      <w:r w:rsidR="005F7E65">
        <w:rPr>
          <w:rFonts w:ascii="Garamond" w:hAnsi="Garamond"/>
        </w:rPr>
        <w:t>elaborations</w:t>
      </w:r>
      <w:r w:rsidRPr="00134835">
        <w:rPr>
          <w:rFonts w:ascii="Garamond" w:hAnsi="Garamond"/>
        </w:rPr>
        <w:t xml:space="preserve"> used for non-bargaining unit faculty.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7718" w14:textId="77777777" w:rsidR="004A67B4" w:rsidRDefault="004A67B4" w:rsidP="009405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DCE3B" w14:textId="35EF46AF" w:rsidR="004A67B4" w:rsidRDefault="004A67B4" w:rsidP="00940579">
    <w:pPr>
      <w:pStyle w:val="Header"/>
      <w:ind w:right="360"/>
    </w:pPr>
    <w:r>
      <w:rPr>
        <w:noProof/>
      </w:rPr>
      <mc:AlternateContent>
        <mc:Choice Requires="wps">
          <w:drawing>
            <wp:anchor distT="0" distB="0" distL="114300" distR="114300" simplePos="0" relativeHeight="251656704" behindDoc="0" locked="0" layoutInCell="1" allowOverlap="1" wp14:anchorId="27327560" wp14:editId="130EB2D5">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0BB2C" id="_x0000_t202" coordsize="21600,21600" o:spt="202" path="m,l,21600r21600,l21600,xe">
              <v:stroke joinstyle="miter"/>
              <v:path gradientshapeok="t" o:connecttype="rect"/>
            </v:shapetype>
            <v:shape id="WordArt 3"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S8gEAAM0DAAAOAAAAZHJzL2Uyb0RvYy54bWysU8Fy0zAQvTPDP2h0J3bawo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pdSOLA8oid2&#10;dEVRXCZzBh8qrnn0XBXHjzjykLPQ4O9R/QzC4U0LbmtWRDi0BjSTmzPUdJwlrA+ecfPp2ozxk+54&#10;DvMEX7zAPzYLqdNm+IKan8AuYu42NmSTvWyYYAo8ycN5eowoFB9+mF9dlXyj+Gr6Th2gOj32FOJn&#10;g1akj1oShyODw/4+xGPpqWRilsgcaW1QH5jYwEmpZfi1AzIscmdvkIPFyhpCOxmX9olrwlqPT0B+&#10;ahiZ6UN/SkrumiOjJ+NB/2Ag23MA99CLt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ZCCV0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BD7C" w14:textId="4A05DC4E" w:rsidR="004A67B4" w:rsidRPr="00C61489" w:rsidRDefault="004A67B4" w:rsidP="00940579">
    <w:pPr>
      <w:pStyle w:val="Header"/>
      <w:framePr w:wrap="around" w:vAnchor="text" w:hAnchor="margin" w:xAlign="right" w:y="1"/>
      <w:rPr>
        <w:rStyle w:val="PageNumber"/>
        <w:rFonts w:ascii="Garamond" w:hAnsi="Garamond"/>
      </w:rPr>
    </w:pPr>
    <w:r w:rsidRPr="00C61489">
      <w:rPr>
        <w:rStyle w:val="PageNumber"/>
        <w:rFonts w:ascii="Garamond" w:hAnsi="Garamond"/>
      </w:rPr>
      <w:fldChar w:fldCharType="begin"/>
    </w:r>
    <w:r w:rsidRPr="00C61489">
      <w:rPr>
        <w:rStyle w:val="PageNumber"/>
        <w:rFonts w:ascii="Garamond" w:hAnsi="Garamond"/>
      </w:rPr>
      <w:instrText xml:space="preserve">PAGE  </w:instrText>
    </w:r>
    <w:r w:rsidRPr="00C61489">
      <w:rPr>
        <w:rStyle w:val="PageNumber"/>
        <w:rFonts w:ascii="Garamond" w:hAnsi="Garamond"/>
      </w:rPr>
      <w:fldChar w:fldCharType="separate"/>
    </w:r>
    <w:r w:rsidR="006F0451">
      <w:rPr>
        <w:rStyle w:val="PageNumber"/>
        <w:rFonts w:ascii="Garamond" w:hAnsi="Garamond"/>
        <w:noProof/>
      </w:rPr>
      <w:t>3</w:t>
    </w:r>
    <w:r w:rsidRPr="00C61489">
      <w:rPr>
        <w:rStyle w:val="PageNumber"/>
        <w:rFonts w:ascii="Garamond" w:hAnsi="Garamond"/>
      </w:rPr>
      <w:fldChar w:fldCharType="end"/>
    </w:r>
  </w:p>
  <w:p w14:paraId="636EEFCC" w14:textId="5B0D9E0D" w:rsidR="004A67B4" w:rsidRPr="004670E0" w:rsidRDefault="004A67B4" w:rsidP="00940579">
    <w:pPr>
      <w:pStyle w:val="Header"/>
      <w:ind w:right="360"/>
      <w:jc w:val="right"/>
      <w:rPr>
        <w:rFonts w:ascii="Garamond" w:hAnsi="Garamond"/>
      </w:rPr>
    </w:pPr>
    <w:r>
      <w:rPr>
        <w:rFonts w:ascii="Garamond" w:hAnsi="Garamond"/>
        <w:noProof/>
      </w:rPr>
      <mc:AlternateContent>
        <mc:Choice Requires="wps">
          <w:drawing>
            <wp:anchor distT="0" distB="0" distL="114300" distR="114300" simplePos="0" relativeHeight="251657728" behindDoc="0" locked="0" layoutInCell="1" allowOverlap="1" wp14:anchorId="4C1A1F05" wp14:editId="41906208">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C12A7"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A73" w14:textId="2C3F8AB6" w:rsidR="004A67B4" w:rsidRDefault="004A67B4">
    <w:pPr>
      <w:pStyle w:val="Header"/>
    </w:pPr>
    <w:r>
      <w:rPr>
        <w:noProof/>
      </w:rPr>
      <mc:AlternateContent>
        <mc:Choice Requires="wps">
          <w:drawing>
            <wp:anchor distT="0" distB="0" distL="114300" distR="114300" simplePos="0" relativeHeight="251658752" behindDoc="0" locked="0" layoutInCell="1" allowOverlap="1" wp14:anchorId="20769095" wp14:editId="40E1A9E5">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D95E20" id="_x0000_t202" coordsize="21600,21600" o:spt="202" path="m,l,21600r21600,l21600,xe">
              <v:stroke joinstyle="miter"/>
              <v:path gradientshapeok="t" o:connecttype="rect"/>
            </v:shapetype>
            <v:shape id="WordArt 1" o:spid="_x0000_s1026" type="#_x0000_t202" style="position:absolute;margin-left:0;margin-top:0;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4FA"/>
    <w:multiLevelType w:val="hybridMultilevel"/>
    <w:tmpl w:val="B96E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78C9"/>
    <w:multiLevelType w:val="hybridMultilevel"/>
    <w:tmpl w:val="8A3EE162"/>
    <w:lvl w:ilvl="0" w:tplc="EBEC86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6224"/>
    <w:multiLevelType w:val="hybridMultilevel"/>
    <w:tmpl w:val="721C1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06CF0"/>
    <w:multiLevelType w:val="hybridMultilevel"/>
    <w:tmpl w:val="8B023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467FB"/>
    <w:multiLevelType w:val="hybridMultilevel"/>
    <w:tmpl w:val="0F48B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37CBE"/>
    <w:multiLevelType w:val="hybridMultilevel"/>
    <w:tmpl w:val="8AE2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307FC"/>
    <w:multiLevelType w:val="hybridMultilevel"/>
    <w:tmpl w:val="F9D4F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11EA3"/>
    <w:multiLevelType w:val="hybridMultilevel"/>
    <w:tmpl w:val="0FC2DCB4"/>
    <w:lvl w:ilvl="0" w:tplc="7390F41A">
      <w:start w:val="1"/>
      <w:numFmt w:val="bullet"/>
      <w:lvlText w:val="o"/>
      <w:lvlJc w:val="left"/>
      <w:pPr>
        <w:ind w:left="1440" w:hanging="360"/>
      </w:pPr>
      <w:rPr>
        <w:rFonts w:ascii="Courier New" w:hAnsi="Courier New" w:hint="default"/>
        <w:b w:val="0"/>
        <w:i w:val="0"/>
        <w:caps w:val="0"/>
        <w:smallCaps w:val="0"/>
        <w:color w:val="000000" w:themeColor="text1"/>
        <w:spacing w:val="0"/>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1008F"/>
    <w:multiLevelType w:val="hybridMultilevel"/>
    <w:tmpl w:val="1B6C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95C44"/>
    <w:multiLevelType w:val="hybridMultilevel"/>
    <w:tmpl w:val="B3962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A6F4E"/>
    <w:multiLevelType w:val="hybridMultilevel"/>
    <w:tmpl w:val="B7D4F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40FA1"/>
    <w:multiLevelType w:val="hybridMultilevel"/>
    <w:tmpl w:val="F198FA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10"/>
  </w:num>
  <w:num w:numId="6">
    <w:abstractNumId w:val="2"/>
  </w:num>
  <w:num w:numId="7">
    <w:abstractNumId w:val="3"/>
  </w:num>
  <w:num w:numId="8">
    <w:abstractNumId w:val="5"/>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93"/>
    <w:rsid w:val="00004015"/>
    <w:rsid w:val="00010878"/>
    <w:rsid w:val="00011B7D"/>
    <w:rsid w:val="0002515A"/>
    <w:rsid w:val="000256DE"/>
    <w:rsid w:val="00042602"/>
    <w:rsid w:val="00080B35"/>
    <w:rsid w:val="00087C31"/>
    <w:rsid w:val="00090B48"/>
    <w:rsid w:val="000C3720"/>
    <w:rsid w:val="000D40FC"/>
    <w:rsid w:val="000E66AA"/>
    <w:rsid w:val="0011795F"/>
    <w:rsid w:val="00141CE1"/>
    <w:rsid w:val="0014695F"/>
    <w:rsid w:val="0016329E"/>
    <w:rsid w:val="001863D2"/>
    <w:rsid w:val="001B218D"/>
    <w:rsid w:val="001C02C1"/>
    <w:rsid w:val="001C1E65"/>
    <w:rsid w:val="001D0147"/>
    <w:rsid w:val="001D70D1"/>
    <w:rsid w:val="002102DE"/>
    <w:rsid w:val="0023272D"/>
    <w:rsid w:val="00246A55"/>
    <w:rsid w:val="00253CA3"/>
    <w:rsid w:val="00271217"/>
    <w:rsid w:val="0029391A"/>
    <w:rsid w:val="002B2C27"/>
    <w:rsid w:val="002B570D"/>
    <w:rsid w:val="002C1C08"/>
    <w:rsid w:val="002C72C0"/>
    <w:rsid w:val="002D06DF"/>
    <w:rsid w:val="002D11B4"/>
    <w:rsid w:val="002E14D8"/>
    <w:rsid w:val="00304D79"/>
    <w:rsid w:val="00305296"/>
    <w:rsid w:val="00310BDA"/>
    <w:rsid w:val="00317FF6"/>
    <w:rsid w:val="00326B0F"/>
    <w:rsid w:val="00337131"/>
    <w:rsid w:val="00337959"/>
    <w:rsid w:val="003471ED"/>
    <w:rsid w:val="00351BF8"/>
    <w:rsid w:val="00395775"/>
    <w:rsid w:val="00397528"/>
    <w:rsid w:val="003A6CD3"/>
    <w:rsid w:val="003B07C0"/>
    <w:rsid w:val="003B1C67"/>
    <w:rsid w:val="003D4B50"/>
    <w:rsid w:val="003D6803"/>
    <w:rsid w:val="004047AA"/>
    <w:rsid w:val="004062D9"/>
    <w:rsid w:val="00440EAB"/>
    <w:rsid w:val="00463317"/>
    <w:rsid w:val="00476A9F"/>
    <w:rsid w:val="004A203D"/>
    <w:rsid w:val="004A2DB9"/>
    <w:rsid w:val="004A67B4"/>
    <w:rsid w:val="004C18A2"/>
    <w:rsid w:val="004D4D0B"/>
    <w:rsid w:val="00517936"/>
    <w:rsid w:val="00546D2C"/>
    <w:rsid w:val="00555064"/>
    <w:rsid w:val="0057093D"/>
    <w:rsid w:val="005721D9"/>
    <w:rsid w:val="00595377"/>
    <w:rsid w:val="005A4FAB"/>
    <w:rsid w:val="005B3819"/>
    <w:rsid w:val="005C3D56"/>
    <w:rsid w:val="005D04DA"/>
    <w:rsid w:val="005D3BC9"/>
    <w:rsid w:val="005D4447"/>
    <w:rsid w:val="005D7D94"/>
    <w:rsid w:val="005F23CB"/>
    <w:rsid w:val="005F7E65"/>
    <w:rsid w:val="00602038"/>
    <w:rsid w:val="00612480"/>
    <w:rsid w:val="00613618"/>
    <w:rsid w:val="00631594"/>
    <w:rsid w:val="00642DF4"/>
    <w:rsid w:val="00653391"/>
    <w:rsid w:val="00654840"/>
    <w:rsid w:val="006819D8"/>
    <w:rsid w:val="00687A95"/>
    <w:rsid w:val="006D3288"/>
    <w:rsid w:val="006F0451"/>
    <w:rsid w:val="00752BCC"/>
    <w:rsid w:val="007C4CAE"/>
    <w:rsid w:val="007C5CBD"/>
    <w:rsid w:val="007D2DF0"/>
    <w:rsid w:val="007E047D"/>
    <w:rsid w:val="007E2B67"/>
    <w:rsid w:val="007E6CED"/>
    <w:rsid w:val="007E7BA7"/>
    <w:rsid w:val="00814874"/>
    <w:rsid w:val="00836D42"/>
    <w:rsid w:val="00845CEE"/>
    <w:rsid w:val="00861EC7"/>
    <w:rsid w:val="00890222"/>
    <w:rsid w:val="008A6DDD"/>
    <w:rsid w:val="008C0296"/>
    <w:rsid w:val="008E6A1E"/>
    <w:rsid w:val="00901276"/>
    <w:rsid w:val="0091357D"/>
    <w:rsid w:val="00940579"/>
    <w:rsid w:val="00994130"/>
    <w:rsid w:val="0099737F"/>
    <w:rsid w:val="009E1532"/>
    <w:rsid w:val="00A36385"/>
    <w:rsid w:val="00A477EB"/>
    <w:rsid w:val="00A5559D"/>
    <w:rsid w:val="00A55FBE"/>
    <w:rsid w:val="00A6572F"/>
    <w:rsid w:val="00A711E6"/>
    <w:rsid w:val="00A75C31"/>
    <w:rsid w:val="00A97A56"/>
    <w:rsid w:val="00AA1E0D"/>
    <w:rsid w:val="00AC0338"/>
    <w:rsid w:val="00AC4647"/>
    <w:rsid w:val="00AC71D5"/>
    <w:rsid w:val="00AD4558"/>
    <w:rsid w:val="00AE2DF8"/>
    <w:rsid w:val="00AF4299"/>
    <w:rsid w:val="00B016EA"/>
    <w:rsid w:val="00B03171"/>
    <w:rsid w:val="00B05790"/>
    <w:rsid w:val="00B2521A"/>
    <w:rsid w:val="00B46230"/>
    <w:rsid w:val="00B62BED"/>
    <w:rsid w:val="00B71645"/>
    <w:rsid w:val="00BC2693"/>
    <w:rsid w:val="00BD4439"/>
    <w:rsid w:val="00BF61FC"/>
    <w:rsid w:val="00C07BE5"/>
    <w:rsid w:val="00C30997"/>
    <w:rsid w:val="00C658B4"/>
    <w:rsid w:val="00C735B6"/>
    <w:rsid w:val="00C82391"/>
    <w:rsid w:val="00CB7ECB"/>
    <w:rsid w:val="00CD7681"/>
    <w:rsid w:val="00D014BA"/>
    <w:rsid w:val="00D015BE"/>
    <w:rsid w:val="00D07A5B"/>
    <w:rsid w:val="00D33E13"/>
    <w:rsid w:val="00D66779"/>
    <w:rsid w:val="00D7001F"/>
    <w:rsid w:val="00DA43E7"/>
    <w:rsid w:val="00DB7DD2"/>
    <w:rsid w:val="00DC25A4"/>
    <w:rsid w:val="00DE6ADB"/>
    <w:rsid w:val="00E0467D"/>
    <w:rsid w:val="00E060FE"/>
    <w:rsid w:val="00E10AEE"/>
    <w:rsid w:val="00E17DAE"/>
    <w:rsid w:val="00E20C33"/>
    <w:rsid w:val="00E24BDE"/>
    <w:rsid w:val="00E25388"/>
    <w:rsid w:val="00E302AA"/>
    <w:rsid w:val="00E64365"/>
    <w:rsid w:val="00E70368"/>
    <w:rsid w:val="00E75997"/>
    <w:rsid w:val="00E878BA"/>
    <w:rsid w:val="00E95192"/>
    <w:rsid w:val="00EA48EB"/>
    <w:rsid w:val="00EA4BCF"/>
    <w:rsid w:val="00EA7FC4"/>
    <w:rsid w:val="00ED0A62"/>
    <w:rsid w:val="00ED55A3"/>
    <w:rsid w:val="00F00D11"/>
    <w:rsid w:val="00F34192"/>
    <w:rsid w:val="00F45388"/>
    <w:rsid w:val="00FC2897"/>
    <w:rsid w:val="00FD0831"/>
    <w:rsid w:val="00FD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E2760"/>
  <w15:docId w15:val="{F09C9290-5315-4DAB-A31A-B588001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93"/>
    <w:pPr>
      <w:ind w:left="720"/>
      <w:contextualSpacing/>
    </w:pPr>
  </w:style>
  <w:style w:type="paragraph" w:styleId="Header">
    <w:name w:val="header"/>
    <w:basedOn w:val="Normal"/>
    <w:link w:val="HeaderChar"/>
    <w:uiPriority w:val="99"/>
    <w:unhideWhenUsed/>
    <w:rsid w:val="00BC2693"/>
    <w:pPr>
      <w:tabs>
        <w:tab w:val="center" w:pos="4320"/>
        <w:tab w:val="right" w:pos="8640"/>
      </w:tabs>
    </w:pPr>
  </w:style>
  <w:style w:type="character" w:customStyle="1" w:styleId="HeaderChar">
    <w:name w:val="Header Char"/>
    <w:basedOn w:val="DefaultParagraphFont"/>
    <w:link w:val="Header"/>
    <w:uiPriority w:val="99"/>
    <w:rsid w:val="00BC2693"/>
  </w:style>
  <w:style w:type="character" w:styleId="PageNumber">
    <w:name w:val="page number"/>
    <w:basedOn w:val="DefaultParagraphFont"/>
    <w:uiPriority w:val="99"/>
    <w:semiHidden/>
    <w:unhideWhenUsed/>
    <w:rsid w:val="00BC2693"/>
  </w:style>
  <w:style w:type="character" w:customStyle="1" w:styleId="tgc">
    <w:name w:val="_tgc"/>
    <w:basedOn w:val="DefaultParagraphFont"/>
    <w:rsid w:val="00BC2693"/>
  </w:style>
  <w:style w:type="paragraph" w:styleId="Footer">
    <w:name w:val="footer"/>
    <w:basedOn w:val="Normal"/>
    <w:link w:val="FooterChar"/>
    <w:uiPriority w:val="99"/>
    <w:unhideWhenUsed/>
    <w:rsid w:val="00BC2693"/>
    <w:pPr>
      <w:tabs>
        <w:tab w:val="center" w:pos="4320"/>
        <w:tab w:val="right" w:pos="8640"/>
      </w:tabs>
    </w:pPr>
  </w:style>
  <w:style w:type="character" w:customStyle="1" w:styleId="FooterChar">
    <w:name w:val="Footer Char"/>
    <w:basedOn w:val="DefaultParagraphFont"/>
    <w:link w:val="Footer"/>
    <w:uiPriority w:val="99"/>
    <w:rsid w:val="00BC2693"/>
  </w:style>
  <w:style w:type="paragraph" w:styleId="FootnoteText">
    <w:name w:val="footnote text"/>
    <w:basedOn w:val="Normal"/>
    <w:link w:val="FootnoteTextChar"/>
    <w:uiPriority w:val="99"/>
    <w:unhideWhenUsed/>
    <w:rsid w:val="00BC2693"/>
  </w:style>
  <w:style w:type="character" w:customStyle="1" w:styleId="FootnoteTextChar">
    <w:name w:val="Footnote Text Char"/>
    <w:basedOn w:val="DefaultParagraphFont"/>
    <w:link w:val="FootnoteText"/>
    <w:uiPriority w:val="99"/>
    <w:rsid w:val="00BC2693"/>
  </w:style>
  <w:style w:type="character" w:styleId="FootnoteReference">
    <w:name w:val="footnote reference"/>
    <w:basedOn w:val="DefaultParagraphFont"/>
    <w:uiPriority w:val="99"/>
    <w:unhideWhenUsed/>
    <w:rsid w:val="00BC2693"/>
    <w:rPr>
      <w:vertAlign w:val="superscript"/>
    </w:rPr>
  </w:style>
  <w:style w:type="character" w:styleId="LineNumber">
    <w:name w:val="line number"/>
    <w:basedOn w:val="DefaultParagraphFont"/>
    <w:uiPriority w:val="99"/>
    <w:semiHidden/>
    <w:unhideWhenUsed/>
    <w:rsid w:val="00BC2693"/>
  </w:style>
  <w:style w:type="paragraph" w:styleId="BalloonText">
    <w:name w:val="Balloon Text"/>
    <w:basedOn w:val="Normal"/>
    <w:link w:val="BalloonTextChar"/>
    <w:uiPriority w:val="99"/>
    <w:semiHidden/>
    <w:unhideWhenUsed/>
    <w:rsid w:val="005A4F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F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1CE1"/>
    <w:rPr>
      <w:sz w:val="16"/>
      <w:szCs w:val="16"/>
    </w:rPr>
  </w:style>
  <w:style w:type="paragraph" w:styleId="CommentText">
    <w:name w:val="annotation text"/>
    <w:basedOn w:val="Normal"/>
    <w:link w:val="CommentTextChar"/>
    <w:uiPriority w:val="99"/>
    <w:semiHidden/>
    <w:unhideWhenUsed/>
    <w:rsid w:val="00141CE1"/>
    <w:rPr>
      <w:sz w:val="20"/>
      <w:szCs w:val="20"/>
    </w:rPr>
  </w:style>
  <w:style w:type="character" w:customStyle="1" w:styleId="CommentTextChar">
    <w:name w:val="Comment Text Char"/>
    <w:basedOn w:val="DefaultParagraphFont"/>
    <w:link w:val="CommentText"/>
    <w:uiPriority w:val="99"/>
    <w:semiHidden/>
    <w:rsid w:val="00141CE1"/>
    <w:rPr>
      <w:sz w:val="20"/>
      <w:szCs w:val="20"/>
    </w:rPr>
  </w:style>
  <w:style w:type="paragraph" w:styleId="CommentSubject">
    <w:name w:val="annotation subject"/>
    <w:basedOn w:val="CommentText"/>
    <w:next w:val="CommentText"/>
    <w:link w:val="CommentSubjectChar"/>
    <w:uiPriority w:val="99"/>
    <w:semiHidden/>
    <w:unhideWhenUsed/>
    <w:rsid w:val="00141CE1"/>
    <w:rPr>
      <w:b/>
      <w:bCs/>
    </w:rPr>
  </w:style>
  <w:style w:type="character" w:customStyle="1" w:styleId="CommentSubjectChar">
    <w:name w:val="Comment Subject Char"/>
    <w:basedOn w:val="CommentTextChar"/>
    <w:link w:val="CommentSubject"/>
    <w:uiPriority w:val="99"/>
    <w:semiHidden/>
    <w:rsid w:val="00141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EBCB94-C5E8-224A-854C-DE5CAF04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Valiska Gregory</dc:creator>
  <cp:lastModifiedBy>Gregory, Melissa</cp:lastModifiedBy>
  <cp:revision>7</cp:revision>
  <cp:lastPrinted>2018-11-27T23:03:00Z</cp:lastPrinted>
  <dcterms:created xsi:type="dcterms:W3CDTF">2019-07-26T16:02:00Z</dcterms:created>
  <dcterms:modified xsi:type="dcterms:W3CDTF">2019-07-26T16:08:00Z</dcterms:modified>
</cp:coreProperties>
</file>