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FE7" w:rsidRPr="006F27F1" w:rsidRDefault="00F93FE7">
      <w:pPr>
        <w:pStyle w:val="BodyText"/>
        <w:spacing w:before="4"/>
        <w:rPr>
          <w:rFonts w:ascii="Times New Roman"/>
          <w:b/>
          <w:sz w:val="9"/>
        </w:rPr>
      </w:pPr>
    </w:p>
    <w:p w:rsidR="00F93FE7" w:rsidRPr="00890137" w:rsidRDefault="006F27F1">
      <w:pPr>
        <w:spacing w:before="95"/>
        <w:ind w:left="340"/>
        <w:rPr>
          <w:b/>
          <w:sz w:val="28"/>
        </w:rPr>
      </w:pPr>
      <w:r w:rsidRPr="006F27F1">
        <w:rPr>
          <w:b/>
          <w:sz w:val="28"/>
        </w:rPr>
        <w:t>Financial Agreement and Refund</w:t>
      </w:r>
      <w:r w:rsidRPr="006F27F1">
        <w:rPr>
          <w:b/>
          <w:spacing w:val="57"/>
          <w:sz w:val="28"/>
        </w:rPr>
        <w:t xml:space="preserve"> </w:t>
      </w:r>
      <w:r w:rsidR="00890137" w:rsidRPr="00890137">
        <w:rPr>
          <w:b/>
          <w:sz w:val="28"/>
        </w:rPr>
        <w:t>Procedure</w:t>
      </w:r>
    </w:p>
    <w:p w:rsidR="00F93FE7" w:rsidRDefault="00EA57FA">
      <w:pPr>
        <w:pStyle w:val="BodyText"/>
        <w:rPr>
          <w:sz w:val="20"/>
        </w:rPr>
      </w:pPr>
      <w:r>
        <w:rPr>
          <w:noProof/>
          <w:sz w:val="20"/>
        </w:rPr>
        <mc:AlternateContent>
          <mc:Choice Requires="wps">
            <w:drawing>
              <wp:anchor distT="0" distB="0" distL="114300" distR="114300" simplePos="0" relativeHeight="251660288" behindDoc="1" locked="0" layoutInCell="1" allowOverlap="1">
                <wp:simplePos x="0" y="0"/>
                <wp:positionH relativeFrom="column">
                  <wp:posOffset>72390</wp:posOffset>
                </wp:positionH>
                <wp:positionV relativeFrom="paragraph">
                  <wp:posOffset>128905</wp:posOffset>
                </wp:positionV>
                <wp:extent cx="6381750" cy="0"/>
                <wp:effectExtent l="8890" t="13970" r="10160" b="50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9144">
                          <a:solidFill>
                            <a:srgbClr val="10357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DDA7B"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0.15pt" to="508.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" strokecolor="#103575" strokeweight=".72pt"/>
            </w:pict>
          </mc:Fallback>
        </mc:AlternateContent>
      </w:r>
    </w:p>
    <w:p w:rsidR="00F93FE7" w:rsidRDefault="00F93FE7">
      <w:pPr>
        <w:pStyle w:val="BodyText"/>
        <w:rPr>
          <w:sz w:val="20"/>
        </w:rPr>
      </w:pPr>
    </w:p>
    <w:p w:rsidR="00F93FE7" w:rsidRDefault="00F93FE7">
      <w:pPr>
        <w:pStyle w:val="BodyText"/>
        <w:rPr>
          <w:sz w:val="20"/>
        </w:rPr>
      </w:pPr>
    </w:p>
    <w:p w:rsidR="00F93FE7" w:rsidRDefault="00EA57FA">
      <w:pPr>
        <w:pStyle w:val="BodyText"/>
        <w:rPr>
          <w:sz w:val="20"/>
        </w:rPr>
      </w:pPr>
      <w:r>
        <w:rPr>
          <w:noProof/>
          <w:sz w:val="20"/>
        </w:rPr>
        <w:drawing>
          <wp:anchor distT="0" distB="0" distL="114300" distR="114300" simplePos="0" relativeHeight="251661312" behindDoc="1" locked="0" layoutInCell="1" allowOverlap="1">
            <wp:simplePos x="0" y="0"/>
            <wp:positionH relativeFrom="column">
              <wp:posOffset>2616200</wp:posOffset>
            </wp:positionH>
            <wp:positionV relativeFrom="paragraph">
              <wp:posOffset>57785</wp:posOffset>
            </wp:positionV>
            <wp:extent cx="1296670" cy="13709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6670" cy="1370965"/>
                    </a:xfrm>
                    <a:prstGeom prst="rect">
                      <a:avLst/>
                    </a:prstGeom>
                    <a:noFill/>
                  </pic:spPr>
                </pic:pic>
              </a:graphicData>
            </a:graphic>
            <wp14:sizeRelH relativeFrom="page">
              <wp14:pctWidth>0</wp14:pctWidth>
            </wp14:sizeRelH>
            <wp14:sizeRelV relativeFrom="page">
              <wp14:pctHeight>0</wp14:pctHeight>
            </wp14:sizeRelV>
          </wp:anchor>
        </w:drawing>
      </w:r>
    </w:p>
    <w:p w:rsidR="00F93FE7" w:rsidRDefault="00F93FE7">
      <w:pPr>
        <w:pStyle w:val="BodyText"/>
        <w:rPr>
          <w:sz w:val="20"/>
        </w:rPr>
      </w:pPr>
    </w:p>
    <w:p w:rsidR="00F93FE7" w:rsidRDefault="00F93FE7">
      <w:pPr>
        <w:pStyle w:val="BodyText"/>
        <w:rPr>
          <w:sz w:val="20"/>
        </w:rPr>
      </w:pPr>
    </w:p>
    <w:p w:rsidR="00F93FE7" w:rsidRDefault="00F93FE7">
      <w:pPr>
        <w:pStyle w:val="BodyText"/>
        <w:rPr>
          <w:sz w:val="20"/>
        </w:rPr>
      </w:pPr>
    </w:p>
    <w:p w:rsidR="00F93FE7" w:rsidRDefault="00F93FE7">
      <w:pPr>
        <w:pStyle w:val="BodyText"/>
        <w:rPr>
          <w:sz w:val="20"/>
        </w:rPr>
      </w:pPr>
    </w:p>
    <w:p w:rsidR="00F93FE7" w:rsidRDefault="00F93FE7">
      <w:pPr>
        <w:pStyle w:val="BodyText"/>
        <w:rPr>
          <w:sz w:val="20"/>
        </w:rPr>
      </w:pPr>
      <w:bookmarkStart w:id="0" w:name="_GoBack"/>
      <w:bookmarkEnd w:id="0"/>
    </w:p>
    <w:p w:rsidR="00F93FE7" w:rsidRDefault="00F93FE7">
      <w:pPr>
        <w:pStyle w:val="BodyText"/>
        <w:rPr>
          <w:sz w:val="20"/>
        </w:rPr>
      </w:pPr>
    </w:p>
    <w:p w:rsidR="00F93FE7" w:rsidRDefault="00F93FE7">
      <w:pPr>
        <w:pStyle w:val="BodyText"/>
        <w:rPr>
          <w:sz w:val="20"/>
        </w:rPr>
      </w:pPr>
    </w:p>
    <w:p w:rsidR="00F93FE7" w:rsidRDefault="00F93FE7">
      <w:pPr>
        <w:pStyle w:val="BodyText"/>
        <w:rPr>
          <w:sz w:val="20"/>
        </w:rPr>
      </w:pPr>
    </w:p>
    <w:p w:rsidR="00F93FE7" w:rsidRDefault="00F93FE7">
      <w:pPr>
        <w:pStyle w:val="BodyText"/>
        <w:rPr>
          <w:sz w:val="20"/>
        </w:rPr>
      </w:pPr>
    </w:p>
    <w:p w:rsidR="00F93FE7" w:rsidRDefault="00F93FE7">
      <w:pPr>
        <w:pStyle w:val="BodyText"/>
        <w:rPr>
          <w:sz w:val="20"/>
        </w:rPr>
      </w:pPr>
    </w:p>
    <w:p w:rsidR="006F27F1" w:rsidRDefault="006F27F1">
      <w:pPr>
        <w:spacing w:before="93"/>
        <w:ind w:left="340"/>
        <w:rPr>
          <w:b/>
          <w:sz w:val="21"/>
        </w:rPr>
      </w:pPr>
    </w:p>
    <w:p w:rsidR="00F93FE7" w:rsidRDefault="006F27F1">
      <w:pPr>
        <w:spacing w:before="93"/>
        <w:ind w:left="340"/>
        <w:rPr>
          <w:b/>
          <w:sz w:val="21"/>
        </w:rPr>
      </w:pPr>
      <w:r>
        <w:rPr>
          <w:b/>
          <w:sz w:val="21"/>
        </w:rPr>
        <w:t>Please read the terms and conditions that follow:</w:t>
      </w:r>
    </w:p>
    <w:p w:rsidR="00F93FE7" w:rsidRDefault="006F27F1">
      <w:pPr>
        <w:pStyle w:val="ListParagraph"/>
        <w:numPr>
          <w:ilvl w:val="0"/>
          <w:numId w:val="1"/>
        </w:numPr>
        <w:tabs>
          <w:tab w:val="left" w:pos="940"/>
        </w:tabs>
        <w:spacing w:before="58" w:line="297" w:lineRule="auto"/>
        <w:ind w:right="394" w:hanging="194"/>
        <w:rPr>
          <w:sz w:val="21"/>
        </w:rPr>
      </w:pPr>
      <w:r>
        <w:rPr>
          <w:sz w:val="21"/>
        </w:rPr>
        <w:t>Students planning on using financial aid to pay for their program should meet with their Financial Aid</w:t>
      </w:r>
      <w:r>
        <w:rPr>
          <w:spacing w:val="-6"/>
          <w:sz w:val="21"/>
        </w:rPr>
        <w:t xml:space="preserve"> </w:t>
      </w:r>
      <w:r>
        <w:rPr>
          <w:sz w:val="21"/>
        </w:rPr>
        <w:t>advisor.</w:t>
      </w:r>
    </w:p>
    <w:p w:rsidR="00F93FE7" w:rsidRDefault="006F27F1">
      <w:pPr>
        <w:pStyle w:val="ListParagraph"/>
        <w:numPr>
          <w:ilvl w:val="0"/>
          <w:numId w:val="1"/>
        </w:numPr>
        <w:tabs>
          <w:tab w:val="left" w:pos="940"/>
        </w:tabs>
        <w:spacing w:line="297" w:lineRule="auto"/>
        <w:ind w:right="629" w:hanging="194"/>
        <w:rPr>
          <w:sz w:val="21"/>
        </w:rPr>
      </w:pPr>
      <w:r>
        <w:rPr>
          <w:sz w:val="21"/>
        </w:rPr>
        <w:t xml:space="preserve">All students </w:t>
      </w:r>
      <w:r>
        <w:rPr>
          <w:b/>
          <w:sz w:val="21"/>
        </w:rPr>
        <w:t xml:space="preserve">must pay a $100 non-refundable study abroad fee </w:t>
      </w:r>
      <w:r>
        <w:rPr>
          <w:sz w:val="21"/>
        </w:rPr>
        <w:t>that is to be submitted with this application. Application is not considered accepted until this fee is received by the Center for International Studies and</w:t>
      </w:r>
      <w:r>
        <w:rPr>
          <w:spacing w:val="-29"/>
          <w:sz w:val="21"/>
        </w:rPr>
        <w:t xml:space="preserve"> </w:t>
      </w:r>
      <w:r>
        <w:rPr>
          <w:sz w:val="21"/>
        </w:rPr>
        <w:t>Programs.</w:t>
      </w:r>
    </w:p>
    <w:p w:rsidR="00F93FE7" w:rsidRDefault="006F27F1">
      <w:pPr>
        <w:pStyle w:val="ListParagraph"/>
        <w:numPr>
          <w:ilvl w:val="0"/>
          <w:numId w:val="1"/>
        </w:numPr>
        <w:tabs>
          <w:tab w:val="left" w:pos="940"/>
        </w:tabs>
        <w:spacing w:line="297" w:lineRule="auto"/>
        <w:ind w:right="605" w:hanging="194"/>
        <w:rPr>
          <w:sz w:val="21"/>
        </w:rPr>
      </w:pPr>
      <w:r>
        <w:rPr>
          <w:sz w:val="21"/>
        </w:rPr>
        <w:t xml:space="preserve">Students participating in the </w:t>
      </w:r>
      <w:r>
        <w:rPr>
          <w:b/>
          <w:sz w:val="21"/>
        </w:rPr>
        <w:t xml:space="preserve">UT Exchange programs </w:t>
      </w:r>
      <w:r>
        <w:rPr>
          <w:sz w:val="21"/>
        </w:rPr>
        <w:t>are responsible for paying their full time tuition at the University of Toledo the semester of their program, travel expenses, and living expenses abroad. Students participating in intensive language programs in host countries are exempt</w:t>
      </w:r>
      <w:r>
        <w:rPr>
          <w:spacing w:val="-4"/>
          <w:sz w:val="21"/>
        </w:rPr>
        <w:t xml:space="preserve"> </w:t>
      </w:r>
      <w:r>
        <w:rPr>
          <w:sz w:val="21"/>
        </w:rPr>
        <w:t>from</w:t>
      </w:r>
      <w:r>
        <w:rPr>
          <w:spacing w:val="-4"/>
          <w:sz w:val="21"/>
        </w:rPr>
        <w:t xml:space="preserve"> </w:t>
      </w:r>
      <w:r>
        <w:rPr>
          <w:sz w:val="21"/>
        </w:rPr>
        <w:t>full</w:t>
      </w:r>
      <w:r>
        <w:rPr>
          <w:spacing w:val="-4"/>
          <w:sz w:val="21"/>
        </w:rPr>
        <w:t xml:space="preserve"> </w:t>
      </w:r>
      <w:r>
        <w:rPr>
          <w:sz w:val="21"/>
        </w:rPr>
        <w:t>time</w:t>
      </w:r>
      <w:r>
        <w:rPr>
          <w:spacing w:val="-3"/>
          <w:sz w:val="21"/>
        </w:rPr>
        <w:t xml:space="preserve"> </w:t>
      </w:r>
      <w:r>
        <w:rPr>
          <w:sz w:val="21"/>
        </w:rPr>
        <w:t>tuition</w:t>
      </w:r>
      <w:r>
        <w:rPr>
          <w:spacing w:val="-4"/>
          <w:sz w:val="21"/>
        </w:rPr>
        <w:t xml:space="preserve"> </w:t>
      </w:r>
      <w:r>
        <w:rPr>
          <w:sz w:val="21"/>
        </w:rPr>
        <w:t>since</w:t>
      </w:r>
      <w:r>
        <w:rPr>
          <w:spacing w:val="-3"/>
          <w:sz w:val="21"/>
        </w:rPr>
        <w:t xml:space="preserve"> </w:t>
      </w:r>
      <w:r>
        <w:rPr>
          <w:sz w:val="21"/>
        </w:rPr>
        <w:t>they</w:t>
      </w:r>
      <w:r>
        <w:rPr>
          <w:spacing w:val="-4"/>
          <w:sz w:val="21"/>
        </w:rPr>
        <w:t xml:space="preserve"> </w:t>
      </w:r>
      <w:r>
        <w:rPr>
          <w:sz w:val="21"/>
        </w:rPr>
        <w:t>are</w:t>
      </w:r>
      <w:r>
        <w:rPr>
          <w:spacing w:val="-3"/>
          <w:sz w:val="21"/>
        </w:rPr>
        <w:t xml:space="preserve"> </w:t>
      </w:r>
      <w:r>
        <w:rPr>
          <w:sz w:val="21"/>
        </w:rPr>
        <w:t>required</w:t>
      </w:r>
      <w:r>
        <w:rPr>
          <w:spacing w:val="-3"/>
          <w:sz w:val="21"/>
        </w:rPr>
        <w:t xml:space="preserve"> </w:t>
      </w:r>
      <w:r>
        <w:rPr>
          <w:sz w:val="21"/>
        </w:rPr>
        <w:t>to</w:t>
      </w:r>
      <w:r>
        <w:rPr>
          <w:spacing w:val="-4"/>
          <w:sz w:val="21"/>
        </w:rPr>
        <w:t xml:space="preserve"> </w:t>
      </w:r>
      <w:r>
        <w:rPr>
          <w:sz w:val="21"/>
        </w:rPr>
        <w:t>pay</w:t>
      </w:r>
      <w:r>
        <w:rPr>
          <w:spacing w:val="-4"/>
          <w:sz w:val="21"/>
        </w:rPr>
        <w:t xml:space="preserve"> </w:t>
      </w:r>
      <w:r>
        <w:rPr>
          <w:sz w:val="21"/>
        </w:rPr>
        <w:t>program</w:t>
      </w:r>
      <w:r>
        <w:rPr>
          <w:spacing w:val="-4"/>
          <w:sz w:val="21"/>
        </w:rPr>
        <w:t xml:space="preserve"> </w:t>
      </w:r>
      <w:r>
        <w:rPr>
          <w:sz w:val="21"/>
        </w:rPr>
        <w:t>fees.</w:t>
      </w:r>
    </w:p>
    <w:p w:rsidR="00F93FE7" w:rsidRDefault="006F27F1">
      <w:pPr>
        <w:pStyle w:val="ListParagraph"/>
        <w:numPr>
          <w:ilvl w:val="0"/>
          <w:numId w:val="1"/>
        </w:numPr>
        <w:tabs>
          <w:tab w:val="left" w:pos="940"/>
        </w:tabs>
        <w:spacing w:line="297" w:lineRule="auto"/>
        <w:ind w:right="710" w:hanging="194"/>
        <w:rPr>
          <w:sz w:val="21"/>
        </w:rPr>
      </w:pPr>
      <w:r>
        <w:rPr>
          <w:sz w:val="21"/>
        </w:rPr>
        <w:t xml:space="preserve">Students participating in </w:t>
      </w:r>
      <w:r>
        <w:rPr>
          <w:b/>
          <w:sz w:val="21"/>
        </w:rPr>
        <w:t xml:space="preserve">Third Party Provider programs </w:t>
      </w:r>
      <w:r>
        <w:rPr>
          <w:sz w:val="21"/>
        </w:rPr>
        <w:t>are responsible for paying their program fees to the program in which they are participating. They are subject to the financial and refund policies of the program in which they are</w:t>
      </w:r>
      <w:r>
        <w:rPr>
          <w:spacing w:val="-37"/>
          <w:sz w:val="21"/>
        </w:rPr>
        <w:t xml:space="preserve"> </w:t>
      </w:r>
      <w:r>
        <w:rPr>
          <w:sz w:val="21"/>
        </w:rPr>
        <w:t>participating.</w:t>
      </w:r>
    </w:p>
    <w:p w:rsidR="00F93FE7" w:rsidRDefault="006F27F1">
      <w:pPr>
        <w:pStyle w:val="ListParagraph"/>
        <w:numPr>
          <w:ilvl w:val="0"/>
          <w:numId w:val="1"/>
        </w:numPr>
        <w:tabs>
          <w:tab w:val="left" w:pos="940"/>
        </w:tabs>
        <w:ind w:hanging="194"/>
        <w:rPr>
          <w:sz w:val="21"/>
        </w:rPr>
      </w:pPr>
      <w:r>
        <w:rPr>
          <w:sz w:val="21"/>
        </w:rPr>
        <w:t>All</w:t>
      </w:r>
      <w:r>
        <w:rPr>
          <w:spacing w:val="-5"/>
          <w:sz w:val="21"/>
        </w:rPr>
        <w:t xml:space="preserve"> </w:t>
      </w:r>
      <w:r>
        <w:rPr>
          <w:sz w:val="21"/>
        </w:rPr>
        <w:t>paperwork</w:t>
      </w:r>
      <w:r>
        <w:rPr>
          <w:spacing w:val="-5"/>
          <w:sz w:val="21"/>
        </w:rPr>
        <w:t xml:space="preserve"> </w:t>
      </w:r>
      <w:r>
        <w:rPr>
          <w:sz w:val="21"/>
        </w:rPr>
        <w:t>is</w:t>
      </w:r>
      <w:r>
        <w:rPr>
          <w:spacing w:val="-5"/>
          <w:sz w:val="21"/>
        </w:rPr>
        <w:t xml:space="preserve"> </w:t>
      </w:r>
      <w:r>
        <w:rPr>
          <w:sz w:val="21"/>
        </w:rPr>
        <w:t>mandatory</w:t>
      </w:r>
      <w:r>
        <w:rPr>
          <w:spacing w:val="-5"/>
          <w:sz w:val="21"/>
        </w:rPr>
        <w:t xml:space="preserve"> </w:t>
      </w:r>
      <w:r>
        <w:rPr>
          <w:sz w:val="21"/>
        </w:rPr>
        <w:t>of</w:t>
      </w:r>
      <w:r>
        <w:rPr>
          <w:spacing w:val="-5"/>
          <w:sz w:val="21"/>
        </w:rPr>
        <w:t xml:space="preserve"> </w:t>
      </w:r>
      <w:r>
        <w:rPr>
          <w:sz w:val="21"/>
        </w:rPr>
        <w:t>all</w:t>
      </w:r>
      <w:r>
        <w:rPr>
          <w:spacing w:val="-4"/>
          <w:sz w:val="21"/>
        </w:rPr>
        <w:t xml:space="preserve"> </w:t>
      </w:r>
      <w:r>
        <w:rPr>
          <w:sz w:val="21"/>
        </w:rPr>
        <w:t>students</w:t>
      </w:r>
      <w:r>
        <w:rPr>
          <w:spacing w:val="-5"/>
          <w:sz w:val="21"/>
        </w:rPr>
        <w:t xml:space="preserve"> </w:t>
      </w:r>
      <w:r>
        <w:rPr>
          <w:sz w:val="21"/>
        </w:rPr>
        <w:t>participating</w:t>
      </w:r>
      <w:r>
        <w:rPr>
          <w:spacing w:val="-4"/>
          <w:sz w:val="21"/>
        </w:rPr>
        <w:t xml:space="preserve"> </w:t>
      </w:r>
      <w:r>
        <w:rPr>
          <w:sz w:val="21"/>
        </w:rPr>
        <w:t>in</w:t>
      </w:r>
      <w:r>
        <w:rPr>
          <w:spacing w:val="-4"/>
          <w:sz w:val="21"/>
        </w:rPr>
        <w:t xml:space="preserve"> </w:t>
      </w:r>
      <w:r>
        <w:rPr>
          <w:sz w:val="21"/>
        </w:rPr>
        <w:t>any</w:t>
      </w:r>
      <w:r>
        <w:rPr>
          <w:spacing w:val="-5"/>
          <w:sz w:val="21"/>
        </w:rPr>
        <w:t xml:space="preserve"> </w:t>
      </w:r>
      <w:r>
        <w:rPr>
          <w:sz w:val="21"/>
        </w:rPr>
        <w:t>study</w:t>
      </w:r>
      <w:r>
        <w:rPr>
          <w:spacing w:val="-5"/>
          <w:sz w:val="21"/>
        </w:rPr>
        <w:t xml:space="preserve"> </w:t>
      </w:r>
      <w:r>
        <w:rPr>
          <w:sz w:val="21"/>
        </w:rPr>
        <w:t>abroad</w:t>
      </w:r>
      <w:r>
        <w:rPr>
          <w:spacing w:val="-4"/>
          <w:sz w:val="21"/>
        </w:rPr>
        <w:t xml:space="preserve"> </w:t>
      </w:r>
      <w:r>
        <w:rPr>
          <w:sz w:val="21"/>
        </w:rPr>
        <w:t>program</w:t>
      </w:r>
      <w:r>
        <w:rPr>
          <w:spacing w:val="-5"/>
          <w:sz w:val="21"/>
        </w:rPr>
        <w:t xml:space="preserve"> </w:t>
      </w:r>
      <w:r>
        <w:rPr>
          <w:sz w:val="21"/>
        </w:rPr>
        <w:t>through</w:t>
      </w:r>
      <w:r>
        <w:rPr>
          <w:spacing w:val="-4"/>
          <w:sz w:val="21"/>
        </w:rPr>
        <w:t xml:space="preserve"> </w:t>
      </w:r>
      <w:r>
        <w:rPr>
          <w:sz w:val="21"/>
        </w:rPr>
        <w:t>UT.</w:t>
      </w:r>
    </w:p>
    <w:p w:rsidR="00F93FE7" w:rsidRDefault="006F27F1">
      <w:pPr>
        <w:pStyle w:val="ListParagraph"/>
        <w:numPr>
          <w:ilvl w:val="0"/>
          <w:numId w:val="1"/>
        </w:numPr>
        <w:tabs>
          <w:tab w:val="left" w:pos="940"/>
        </w:tabs>
        <w:spacing w:before="58" w:line="297" w:lineRule="auto"/>
        <w:ind w:right="652" w:hanging="194"/>
        <w:rPr>
          <w:sz w:val="21"/>
        </w:rPr>
      </w:pPr>
      <w:r>
        <w:rPr>
          <w:sz w:val="21"/>
        </w:rPr>
        <w:t>Students who have not completed all required paperwork prior to departure are subject to any and all late registrations fees they</w:t>
      </w:r>
      <w:r>
        <w:rPr>
          <w:spacing w:val="-30"/>
          <w:sz w:val="21"/>
        </w:rPr>
        <w:t xml:space="preserve"> </w:t>
      </w:r>
      <w:r>
        <w:rPr>
          <w:sz w:val="21"/>
        </w:rPr>
        <w:t>acquire.</w:t>
      </w:r>
    </w:p>
    <w:p w:rsidR="00F93FE7" w:rsidRDefault="006F27F1">
      <w:pPr>
        <w:pStyle w:val="ListParagraph"/>
        <w:numPr>
          <w:ilvl w:val="0"/>
          <w:numId w:val="1"/>
        </w:numPr>
        <w:tabs>
          <w:tab w:val="left" w:pos="941"/>
        </w:tabs>
        <w:spacing w:before="1" w:line="297" w:lineRule="auto"/>
        <w:ind w:right="547" w:hanging="194"/>
        <w:rPr>
          <w:sz w:val="21"/>
        </w:rPr>
      </w:pPr>
      <w:r>
        <w:rPr>
          <w:b/>
          <w:sz w:val="21"/>
        </w:rPr>
        <w:t xml:space="preserve">Non-UT students </w:t>
      </w:r>
      <w:r>
        <w:rPr>
          <w:sz w:val="21"/>
        </w:rPr>
        <w:t>are required to register as non-degree students in order to participate in any program through the University of Toledo in order to have their grades transferred back. Students who do not complete this non-degree student application will incur late registration fees.</w:t>
      </w:r>
    </w:p>
    <w:p w:rsidR="00AD4262" w:rsidRDefault="006F27F1">
      <w:pPr>
        <w:pStyle w:val="ListParagraph"/>
        <w:numPr>
          <w:ilvl w:val="0"/>
          <w:numId w:val="1"/>
        </w:numPr>
        <w:tabs>
          <w:tab w:val="left" w:pos="940"/>
        </w:tabs>
        <w:spacing w:before="1" w:line="297" w:lineRule="auto"/>
        <w:ind w:right="371" w:hanging="194"/>
        <w:rPr>
          <w:sz w:val="21"/>
        </w:rPr>
      </w:pPr>
      <w:r>
        <w:rPr>
          <w:b/>
          <w:sz w:val="21"/>
        </w:rPr>
        <w:t xml:space="preserve">Non-UT students </w:t>
      </w:r>
      <w:r>
        <w:rPr>
          <w:sz w:val="21"/>
        </w:rPr>
        <w:t>are required to obtain a consortium agreement from the Financial Aid department of their home institution in order to use financial aid from their home institution to pay for</w:t>
      </w:r>
      <w:r>
        <w:rPr>
          <w:spacing w:val="-10"/>
          <w:sz w:val="21"/>
        </w:rPr>
        <w:t xml:space="preserve"> </w:t>
      </w:r>
      <w:r>
        <w:rPr>
          <w:sz w:val="21"/>
        </w:rPr>
        <w:t>programs.</w:t>
      </w:r>
    </w:p>
    <w:p w:rsidR="00AD4262" w:rsidRPr="00AD4262" w:rsidRDefault="00AD4262" w:rsidP="00AD4262"/>
    <w:p w:rsidR="00AD4262" w:rsidRPr="00AD4262" w:rsidRDefault="00AD4262" w:rsidP="00AD4262"/>
    <w:p w:rsidR="00AD4262" w:rsidRPr="00AD4262" w:rsidRDefault="00AD4262" w:rsidP="00AD4262"/>
    <w:p w:rsidR="00AD4262" w:rsidRPr="00AD4262" w:rsidRDefault="00AD4262" w:rsidP="00AD4262"/>
    <w:p w:rsidR="00AD4262" w:rsidRPr="00AD4262" w:rsidRDefault="00AD4262" w:rsidP="00AD4262"/>
    <w:p w:rsidR="00AD4262" w:rsidRPr="00AD4262" w:rsidRDefault="00AD4262" w:rsidP="00AD4262"/>
    <w:p w:rsidR="00AD4262" w:rsidRPr="00AD4262" w:rsidRDefault="00AD4262" w:rsidP="00AD4262"/>
    <w:p w:rsidR="00AD4262" w:rsidRPr="00AD4262" w:rsidRDefault="00AD4262" w:rsidP="00AD4262"/>
    <w:p w:rsidR="00AD4262" w:rsidRPr="00AD4262" w:rsidRDefault="00AD4262" w:rsidP="00AD4262"/>
    <w:p w:rsidR="00AD4262" w:rsidRPr="00AD4262" w:rsidRDefault="00AD4262" w:rsidP="00AD4262"/>
    <w:p w:rsidR="00AD4262" w:rsidRDefault="00AD4262" w:rsidP="00AD4262"/>
    <w:p w:rsidR="00F93FE7" w:rsidRPr="00AD4262" w:rsidRDefault="00AD4262" w:rsidP="00AD4262">
      <w:pPr>
        <w:pStyle w:val="BodyText"/>
        <w:ind w:right="360"/>
        <w:jc w:val="right"/>
      </w:pPr>
      <w:r>
        <w:tab/>
        <w:t>Last updated 11/2/2018</w:t>
      </w:r>
    </w:p>
    <w:sectPr w:rsidR="00F93FE7" w:rsidRPr="00AD4262">
      <w:type w:val="continuous"/>
      <w:pgSz w:w="12240" w:h="15840"/>
      <w:pgMar w:top="108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143DA"/>
    <w:multiLevelType w:val="hybridMultilevel"/>
    <w:tmpl w:val="6B8AF282"/>
    <w:lvl w:ilvl="0" w:tplc="21A4D774">
      <w:numFmt w:val="bullet"/>
      <w:lvlText w:val="•"/>
      <w:lvlJc w:val="left"/>
      <w:pPr>
        <w:ind w:left="939" w:hanging="195"/>
      </w:pPr>
      <w:rPr>
        <w:rFonts w:ascii="Arial" w:eastAsia="Arial" w:hAnsi="Arial" w:cs="Arial" w:hint="default"/>
        <w:w w:val="99"/>
        <w:sz w:val="21"/>
        <w:szCs w:val="21"/>
      </w:rPr>
    </w:lvl>
    <w:lvl w:ilvl="1" w:tplc="33B03118">
      <w:numFmt w:val="bullet"/>
      <w:lvlText w:val="•"/>
      <w:lvlJc w:val="left"/>
      <w:pPr>
        <w:ind w:left="1874" w:hanging="195"/>
      </w:pPr>
      <w:rPr>
        <w:rFonts w:hint="default"/>
      </w:rPr>
    </w:lvl>
    <w:lvl w:ilvl="2" w:tplc="E484396E">
      <w:numFmt w:val="bullet"/>
      <w:lvlText w:val="•"/>
      <w:lvlJc w:val="left"/>
      <w:pPr>
        <w:ind w:left="2808" w:hanging="195"/>
      </w:pPr>
      <w:rPr>
        <w:rFonts w:hint="default"/>
      </w:rPr>
    </w:lvl>
    <w:lvl w:ilvl="3" w:tplc="8F681228">
      <w:numFmt w:val="bullet"/>
      <w:lvlText w:val="•"/>
      <w:lvlJc w:val="left"/>
      <w:pPr>
        <w:ind w:left="3742" w:hanging="195"/>
      </w:pPr>
      <w:rPr>
        <w:rFonts w:hint="default"/>
      </w:rPr>
    </w:lvl>
    <w:lvl w:ilvl="4" w:tplc="077EC686">
      <w:numFmt w:val="bullet"/>
      <w:lvlText w:val="•"/>
      <w:lvlJc w:val="left"/>
      <w:pPr>
        <w:ind w:left="4676" w:hanging="195"/>
      </w:pPr>
      <w:rPr>
        <w:rFonts w:hint="default"/>
      </w:rPr>
    </w:lvl>
    <w:lvl w:ilvl="5" w:tplc="933040A6">
      <w:numFmt w:val="bullet"/>
      <w:lvlText w:val="•"/>
      <w:lvlJc w:val="left"/>
      <w:pPr>
        <w:ind w:left="5610" w:hanging="195"/>
      </w:pPr>
      <w:rPr>
        <w:rFonts w:hint="default"/>
      </w:rPr>
    </w:lvl>
    <w:lvl w:ilvl="6" w:tplc="82C08A70">
      <w:numFmt w:val="bullet"/>
      <w:lvlText w:val="•"/>
      <w:lvlJc w:val="left"/>
      <w:pPr>
        <w:ind w:left="6544" w:hanging="195"/>
      </w:pPr>
      <w:rPr>
        <w:rFonts w:hint="default"/>
      </w:rPr>
    </w:lvl>
    <w:lvl w:ilvl="7" w:tplc="90D6DA46">
      <w:numFmt w:val="bullet"/>
      <w:lvlText w:val="•"/>
      <w:lvlJc w:val="left"/>
      <w:pPr>
        <w:ind w:left="7478" w:hanging="195"/>
      </w:pPr>
      <w:rPr>
        <w:rFonts w:hint="default"/>
      </w:rPr>
    </w:lvl>
    <w:lvl w:ilvl="8" w:tplc="3D44ACA6">
      <w:numFmt w:val="bullet"/>
      <w:lvlText w:val="•"/>
      <w:lvlJc w:val="left"/>
      <w:pPr>
        <w:ind w:left="8412" w:hanging="19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FE7"/>
    <w:rsid w:val="006F27F1"/>
    <w:rsid w:val="00890137"/>
    <w:rsid w:val="00AD4262"/>
    <w:rsid w:val="00EA57FA"/>
    <w:rsid w:val="00F93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BF1F"/>
  <w15:docId w15:val="{0E78C160-231B-4FA2-B325-05D3CB91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2"/>
      <w:ind w:left="939" w:hanging="19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Your Home Page &gt; Applications &gt; Center for International Studie</vt:lpstr>
    </vt:vector>
  </TitlesOfParts>
  <Company>The University of Toledo</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Home Page &gt; Applications &gt; Center for International Studie</dc:title>
  <dc:creator>kobrien19</dc:creator>
  <cp:lastModifiedBy>Zimmer, Cathy A.</cp:lastModifiedBy>
  <cp:revision>2</cp:revision>
  <dcterms:created xsi:type="dcterms:W3CDTF">2018-11-02T20:10:00Z</dcterms:created>
  <dcterms:modified xsi:type="dcterms:W3CDTF">2018-11-02T20:10:00Z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PScript5.dll Version 5.2.2</vt:lpwstr>
  </property>
  <property fmtid="{D5CDD505-2E9C-101B-9397-08002B2CF9AE}" pid="4" name="LastSaved">
    <vt:filetime>2018-11-02T00:00:00Z</vt:filetime>
  </property>
</Properties>
</file>