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43678" w14:textId="77777777" w:rsidR="00E15A6E" w:rsidRPr="00A85FD9" w:rsidRDefault="005007F8" w:rsidP="00E15A6E">
      <w:pPr>
        <w:rPr>
          <w:rFonts w:cstheme="minorHAnsi"/>
        </w:rPr>
      </w:pPr>
      <w:bookmarkStart w:id="0" w:name="_GoBack"/>
      <w:bookmarkEnd w:id="0"/>
      <w:r w:rsidRPr="00A85FD9">
        <w:rPr>
          <w:rFonts w:cstheme="minorHAnsi"/>
        </w:rPr>
        <w:t>Introduction:</w:t>
      </w:r>
    </w:p>
    <w:p w14:paraId="60CA5576" w14:textId="2BE54757" w:rsidR="00E15A6E" w:rsidRPr="00A85FD9" w:rsidRDefault="00E15A6E" w:rsidP="00E15A6E">
      <w:pPr>
        <w:rPr>
          <w:rFonts w:cstheme="minorHAnsi"/>
        </w:rPr>
      </w:pPr>
      <w:r w:rsidRPr="00A85FD9">
        <w:rPr>
          <w:rFonts w:cstheme="minorHAnsi"/>
        </w:rPr>
        <w:t>The University of Toledo College of Medicine and Life Sciences (COMLS) is committed to the recruitment and hiring of qualified clinical faculty</w:t>
      </w:r>
      <w:r w:rsidR="001055D5">
        <w:rPr>
          <w:rFonts w:cstheme="minorHAnsi"/>
        </w:rPr>
        <w:t xml:space="preserve">, </w:t>
      </w:r>
      <w:r w:rsidRPr="00A85FD9">
        <w:rPr>
          <w:rFonts w:cstheme="minorHAnsi"/>
        </w:rPr>
        <w:t xml:space="preserve">and to diversity in recruitment and hiring through equal employment opportunity and affirmative action. All qualified applicants including women, underrepresented minorities, veterans, and individuals with disabilities are encouraged to apply for clinical faculty positions within COMLS. The purpose of this </w:t>
      </w:r>
      <w:r w:rsidR="00C443EC" w:rsidRPr="00A85FD9">
        <w:rPr>
          <w:rFonts w:cstheme="minorHAnsi"/>
        </w:rPr>
        <w:t>procedure is</w:t>
      </w:r>
      <w:r w:rsidRPr="00A85FD9">
        <w:rPr>
          <w:rFonts w:cstheme="minorHAnsi"/>
        </w:rPr>
        <w:t xml:space="preserve"> to ensure systematic, consistent recruitment and hiring practices a</w:t>
      </w:r>
      <w:r w:rsidR="00726717" w:rsidRPr="00A85FD9">
        <w:rPr>
          <w:rFonts w:cstheme="minorHAnsi"/>
        </w:rPr>
        <w:t>nd alignment</w:t>
      </w:r>
      <w:r w:rsidRPr="00A85FD9">
        <w:rPr>
          <w:rFonts w:cstheme="minorHAnsi"/>
        </w:rPr>
        <w:t xml:space="preserve"> with the University’s mission, institutional equal opportunit</w:t>
      </w:r>
      <w:r w:rsidR="00EE21A0">
        <w:rPr>
          <w:rFonts w:cstheme="minorHAnsi"/>
        </w:rPr>
        <w:t xml:space="preserve">y </w:t>
      </w:r>
      <w:r w:rsidRPr="00A85FD9">
        <w:rPr>
          <w:rFonts w:cstheme="minorHAnsi"/>
        </w:rPr>
        <w:t xml:space="preserve">practices, non-discrimination policy (3364-50-02), applicable </w:t>
      </w:r>
      <w:r w:rsidR="00510EEB" w:rsidRPr="00A85FD9">
        <w:rPr>
          <w:rFonts w:cstheme="minorHAnsi"/>
        </w:rPr>
        <w:t>accreditation</w:t>
      </w:r>
      <w:r w:rsidRPr="00A85FD9">
        <w:rPr>
          <w:rFonts w:cstheme="minorHAnsi"/>
        </w:rPr>
        <w:t xml:space="preserve"> standards (</w:t>
      </w:r>
      <w:proofErr w:type="spellStart"/>
      <w:r w:rsidRPr="00A85FD9">
        <w:rPr>
          <w:rFonts w:cstheme="minorHAnsi"/>
        </w:rPr>
        <w:t>eg</w:t>
      </w:r>
      <w:proofErr w:type="spellEnd"/>
      <w:r w:rsidRPr="00A85FD9">
        <w:rPr>
          <w:rFonts w:cstheme="minorHAnsi"/>
        </w:rPr>
        <w:t xml:space="preserve">, LCME, ACGME, ARC-PA), and other relevant regulations. The </w:t>
      </w:r>
      <w:r w:rsidR="005007F8" w:rsidRPr="00A85FD9">
        <w:rPr>
          <w:rFonts w:cstheme="minorHAnsi"/>
        </w:rPr>
        <w:t xml:space="preserve">delineated </w:t>
      </w:r>
      <w:r w:rsidRPr="00A85FD9">
        <w:rPr>
          <w:rFonts w:cstheme="minorHAnsi"/>
        </w:rPr>
        <w:t xml:space="preserve">procedures </w:t>
      </w:r>
      <w:r w:rsidR="005007F8" w:rsidRPr="00A85FD9">
        <w:rPr>
          <w:rFonts w:cstheme="minorHAnsi"/>
        </w:rPr>
        <w:t>apply</w:t>
      </w:r>
      <w:r w:rsidRPr="00A85FD9">
        <w:rPr>
          <w:rFonts w:cstheme="minorHAnsi"/>
        </w:rPr>
        <w:t xml:space="preserve"> to the recruitment and hiring of clinical faculty in the </w:t>
      </w:r>
      <w:r w:rsidR="00726717" w:rsidRPr="00A85FD9">
        <w:rPr>
          <w:rFonts w:cstheme="minorHAnsi"/>
        </w:rPr>
        <w:t xml:space="preserve">UT </w:t>
      </w:r>
      <w:r w:rsidRPr="00A85FD9">
        <w:rPr>
          <w:rFonts w:cstheme="minorHAnsi"/>
        </w:rPr>
        <w:t xml:space="preserve">COMLS in both tenure eligible </w:t>
      </w:r>
      <w:r w:rsidR="005007F8" w:rsidRPr="00A85FD9">
        <w:rPr>
          <w:rFonts w:cstheme="minorHAnsi"/>
        </w:rPr>
        <w:t xml:space="preserve">and non-tenure eligible tracks. This includes faculty in the clinical scholar, clinical educator, and clinical practitioner track. </w:t>
      </w:r>
    </w:p>
    <w:p w14:paraId="4D3D6EBA" w14:textId="32828001" w:rsidR="00E15A6E" w:rsidRPr="00A85FD9" w:rsidRDefault="00E15A6E" w:rsidP="00E15A6E">
      <w:pPr>
        <w:rPr>
          <w:rFonts w:cstheme="minorHAnsi"/>
        </w:rPr>
      </w:pPr>
      <w:r w:rsidRPr="00A85FD9">
        <w:rPr>
          <w:rFonts w:cstheme="minorHAnsi"/>
        </w:rPr>
        <w:t xml:space="preserve">A. </w:t>
      </w:r>
      <w:r w:rsidR="005007F8" w:rsidRPr="00A85FD9">
        <w:rPr>
          <w:rFonts w:cstheme="minorHAnsi"/>
        </w:rPr>
        <w:t>Guidelines</w:t>
      </w:r>
      <w:r w:rsidR="00510EEB" w:rsidRPr="00A85FD9">
        <w:rPr>
          <w:rFonts w:cstheme="minorHAnsi"/>
        </w:rPr>
        <w:t xml:space="preserve"> for Recruitment and Hiring</w:t>
      </w:r>
      <w:r w:rsidR="005007F8" w:rsidRPr="00A85FD9">
        <w:rPr>
          <w:rFonts w:cstheme="minorHAnsi"/>
        </w:rPr>
        <w:t xml:space="preserve">: </w:t>
      </w:r>
    </w:p>
    <w:p w14:paraId="4017283B" w14:textId="03D867A3" w:rsidR="00EB7DC8" w:rsidRPr="00A85FD9" w:rsidRDefault="00510EEB" w:rsidP="4857FB73">
      <w:pPr>
        <w:ind w:firstLine="720"/>
        <w:rPr>
          <w:rFonts w:cstheme="minorHAnsi"/>
        </w:rPr>
      </w:pPr>
      <w:r w:rsidRPr="00A85FD9">
        <w:rPr>
          <w:rFonts w:cstheme="minorHAnsi"/>
        </w:rPr>
        <w:t xml:space="preserve">1) Scope: </w:t>
      </w:r>
      <w:r w:rsidR="00E15A6E" w:rsidRPr="00A85FD9">
        <w:rPr>
          <w:rFonts w:cstheme="minorHAnsi"/>
        </w:rPr>
        <w:t xml:space="preserve">A competitive search process is required to fill all </w:t>
      </w:r>
      <w:r w:rsidR="2426B04B" w:rsidRPr="00A85FD9">
        <w:rPr>
          <w:rFonts w:cstheme="minorHAnsi"/>
        </w:rPr>
        <w:t xml:space="preserve">newly created and existing </w:t>
      </w:r>
      <w:r w:rsidR="005007F8" w:rsidRPr="00A85FD9">
        <w:rPr>
          <w:rFonts w:cstheme="minorHAnsi"/>
        </w:rPr>
        <w:t xml:space="preserve">full-time and part-time clinical </w:t>
      </w:r>
      <w:r w:rsidR="00E15A6E" w:rsidRPr="00A85FD9">
        <w:rPr>
          <w:rFonts w:cstheme="minorHAnsi"/>
        </w:rPr>
        <w:t>f</w:t>
      </w:r>
      <w:r w:rsidR="005007F8" w:rsidRPr="00A85FD9">
        <w:rPr>
          <w:rFonts w:cstheme="minorHAnsi"/>
        </w:rPr>
        <w:t xml:space="preserve">aculty positions in the clinical scholar, clinical educator, and clinical practitioner tracks except when a search waiver </w:t>
      </w:r>
      <w:r w:rsidRPr="00A85FD9">
        <w:rPr>
          <w:rFonts w:cstheme="minorHAnsi"/>
        </w:rPr>
        <w:t>for expedited</w:t>
      </w:r>
      <w:r w:rsidR="005007F8" w:rsidRPr="00A85FD9">
        <w:rPr>
          <w:rFonts w:cstheme="minorHAnsi"/>
        </w:rPr>
        <w:t xml:space="preserve"> recruitment and hiring for a clinical position has been approved.  The following clinical faculty positions are exempt from the clinical faculty recruitment policy (3362-81-11-001-00)</w:t>
      </w:r>
      <w:r w:rsidR="005B4EA7" w:rsidRPr="00A85FD9">
        <w:rPr>
          <w:rFonts w:cstheme="minorHAnsi"/>
        </w:rPr>
        <w:t xml:space="preserve"> regardless of rank</w:t>
      </w:r>
    </w:p>
    <w:p w14:paraId="1B538AF4" w14:textId="11CD2624" w:rsidR="00EB7DC8" w:rsidRPr="00A85FD9" w:rsidRDefault="005481DA" w:rsidP="4857FB73">
      <w:pPr>
        <w:ind w:left="720" w:firstLine="720"/>
        <w:rPr>
          <w:rFonts w:cstheme="minorHAnsi"/>
        </w:rPr>
      </w:pPr>
      <w:r w:rsidRPr="00A85FD9">
        <w:rPr>
          <w:rFonts w:cstheme="minorHAnsi"/>
        </w:rPr>
        <w:t>a</w:t>
      </w:r>
      <w:r w:rsidR="10281DB5" w:rsidRPr="00A85FD9">
        <w:rPr>
          <w:rFonts w:cstheme="minorHAnsi"/>
        </w:rPr>
        <w:t xml:space="preserve">) </w:t>
      </w:r>
      <w:r w:rsidR="00E15A6E" w:rsidRPr="00A85FD9">
        <w:rPr>
          <w:rFonts w:cstheme="minorHAnsi"/>
        </w:rPr>
        <w:t>Visiting Faculty Positions:</w:t>
      </w:r>
      <w:r w:rsidR="005B4EA7" w:rsidRPr="00A85FD9">
        <w:rPr>
          <w:rFonts w:cstheme="minorHAnsi"/>
        </w:rPr>
        <w:t xml:space="preserve"> </w:t>
      </w:r>
      <w:r w:rsidR="0090280A" w:rsidRPr="00A85FD9">
        <w:rPr>
          <w:rFonts w:cstheme="minorHAnsi"/>
        </w:rPr>
        <w:t>these appointments may not be changed to a permanent appointment without undergoing a competitive search process</w:t>
      </w:r>
      <w:r w:rsidR="005B4EA7" w:rsidRPr="00A85FD9">
        <w:rPr>
          <w:rFonts w:cstheme="minorHAnsi"/>
        </w:rPr>
        <w:t xml:space="preserve"> or without an approved search waiver</w:t>
      </w:r>
    </w:p>
    <w:p w14:paraId="2D6E44D5" w14:textId="2E3550D0" w:rsidR="00EB7DC8" w:rsidRPr="00A85FD9" w:rsidRDefault="027755C1" w:rsidP="4857FB73">
      <w:pPr>
        <w:ind w:left="720" w:firstLine="720"/>
        <w:rPr>
          <w:rFonts w:cstheme="minorHAnsi"/>
        </w:rPr>
      </w:pPr>
      <w:r w:rsidRPr="00A85FD9">
        <w:rPr>
          <w:rFonts w:cstheme="minorHAnsi"/>
        </w:rPr>
        <w:t>b</w:t>
      </w:r>
      <w:r w:rsidR="4C4E41C6" w:rsidRPr="00A85FD9">
        <w:rPr>
          <w:rFonts w:cstheme="minorHAnsi"/>
        </w:rPr>
        <w:t xml:space="preserve">) </w:t>
      </w:r>
      <w:r w:rsidR="00E15A6E" w:rsidRPr="00A85FD9">
        <w:rPr>
          <w:rFonts w:cstheme="minorHAnsi"/>
        </w:rPr>
        <w:t xml:space="preserve">Temporary non-renewable </w:t>
      </w:r>
      <w:r w:rsidR="00510EEB" w:rsidRPr="00A85FD9">
        <w:rPr>
          <w:rFonts w:cstheme="minorHAnsi"/>
        </w:rPr>
        <w:t xml:space="preserve">appointments (such as </w:t>
      </w:r>
      <w:r w:rsidR="00510EEB" w:rsidRPr="00A85FD9">
        <w:rPr>
          <w:rFonts w:cstheme="minorHAnsi"/>
          <w:i/>
          <w:iCs/>
        </w:rPr>
        <w:t>locum tenens</w:t>
      </w:r>
      <w:r w:rsidR="00510EEB" w:rsidRPr="00A85FD9">
        <w:rPr>
          <w:rFonts w:cstheme="minorHAnsi"/>
        </w:rPr>
        <w:t xml:space="preserve">): these appointments </w:t>
      </w:r>
      <w:r w:rsidR="00E15A6E" w:rsidRPr="00A85FD9">
        <w:rPr>
          <w:rFonts w:cstheme="minorHAnsi"/>
        </w:rPr>
        <w:t>may not be changed to a permanen</w:t>
      </w:r>
      <w:r w:rsidR="00510EEB" w:rsidRPr="00A85FD9">
        <w:rPr>
          <w:rFonts w:cstheme="minorHAnsi"/>
        </w:rPr>
        <w:t>t appointment without undergoing a competitive search process</w:t>
      </w:r>
      <w:r w:rsidR="005B4EA7" w:rsidRPr="00A85FD9">
        <w:rPr>
          <w:rFonts w:cstheme="minorHAnsi"/>
        </w:rPr>
        <w:t xml:space="preserve"> or without an approved search waive</w:t>
      </w:r>
      <w:r w:rsidR="102FEBC6" w:rsidRPr="00A85FD9">
        <w:rPr>
          <w:rFonts w:cstheme="minorHAnsi"/>
        </w:rPr>
        <w:t>r</w:t>
      </w:r>
    </w:p>
    <w:p w14:paraId="4D380E1A" w14:textId="3435D655" w:rsidR="00EB7DC8" w:rsidRDefault="193405CA" w:rsidP="4857FB73">
      <w:pPr>
        <w:ind w:left="720" w:firstLine="720"/>
        <w:rPr>
          <w:rFonts w:cstheme="minorHAnsi"/>
        </w:rPr>
      </w:pPr>
      <w:r w:rsidRPr="00A85FD9">
        <w:rPr>
          <w:rFonts w:cstheme="minorHAnsi"/>
        </w:rPr>
        <w:t>c</w:t>
      </w:r>
      <w:r w:rsidR="102FEBC6" w:rsidRPr="00A85FD9">
        <w:rPr>
          <w:rFonts w:cstheme="minorHAnsi"/>
        </w:rPr>
        <w:t xml:space="preserve">) </w:t>
      </w:r>
      <w:r w:rsidR="00055BF9" w:rsidRPr="00A85FD9">
        <w:rPr>
          <w:rFonts w:cstheme="minorHAnsi"/>
        </w:rPr>
        <w:t xml:space="preserve">Adjunct Faculty </w:t>
      </w:r>
      <w:r w:rsidR="00EB7DC8" w:rsidRPr="00A85FD9">
        <w:rPr>
          <w:rFonts w:cstheme="minorHAnsi"/>
        </w:rPr>
        <w:t xml:space="preserve">Appointments and </w:t>
      </w:r>
      <w:r w:rsidR="00055BF9" w:rsidRPr="00A85FD9">
        <w:rPr>
          <w:rFonts w:cstheme="minorHAnsi"/>
        </w:rPr>
        <w:t xml:space="preserve">Joint Appointments if the primary appointment </w:t>
      </w:r>
      <w:r w:rsidR="00CC5368" w:rsidRPr="00A85FD9">
        <w:rPr>
          <w:rFonts w:cstheme="minorHAnsi"/>
        </w:rPr>
        <w:t xml:space="preserve">for the position </w:t>
      </w:r>
      <w:r w:rsidR="00055BF9" w:rsidRPr="00A85FD9">
        <w:rPr>
          <w:rFonts w:cstheme="minorHAnsi"/>
        </w:rPr>
        <w:t>is in a non-clinical department</w:t>
      </w:r>
      <w:r w:rsidR="00C443EC" w:rsidRPr="00A85FD9">
        <w:rPr>
          <w:rFonts w:cstheme="minorHAnsi"/>
        </w:rPr>
        <w:t xml:space="preserve"> </w:t>
      </w:r>
    </w:p>
    <w:p w14:paraId="106C4EF4" w14:textId="77777777" w:rsidR="00770043" w:rsidRPr="00A85FD9" w:rsidRDefault="00770043" w:rsidP="4857FB73">
      <w:pPr>
        <w:ind w:left="720" w:firstLine="720"/>
        <w:rPr>
          <w:rFonts w:cstheme="minorHAnsi"/>
        </w:rPr>
      </w:pPr>
    </w:p>
    <w:p w14:paraId="59E66504" w14:textId="0EA4DE4C" w:rsidR="00C443EC" w:rsidRPr="00A85FD9" w:rsidRDefault="15F52868" w:rsidP="00C443EC">
      <w:pPr>
        <w:rPr>
          <w:rFonts w:cstheme="minorHAnsi"/>
        </w:rPr>
      </w:pPr>
      <w:r w:rsidRPr="00A85FD9">
        <w:rPr>
          <w:rFonts w:cstheme="minorHAnsi"/>
        </w:rPr>
        <w:t>B</w:t>
      </w:r>
      <w:r w:rsidR="007F5BAF" w:rsidRPr="00A85FD9">
        <w:rPr>
          <w:rFonts w:cstheme="minorHAnsi"/>
        </w:rPr>
        <w:t>) Procedure</w:t>
      </w:r>
      <w:r w:rsidR="0FF726FE" w:rsidRPr="00A85FD9">
        <w:rPr>
          <w:rFonts w:cstheme="minorHAnsi"/>
        </w:rPr>
        <w:t>s</w:t>
      </w:r>
      <w:r w:rsidR="007F5BAF" w:rsidRPr="00A85FD9">
        <w:rPr>
          <w:rFonts w:cstheme="minorHAnsi"/>
        </w:rPr>
        <w:t xml:space="preserve"> </w:t>
      </w:r>
      <w:r w:rsidR="00146CCB" w:rsidRPr="00A85FD9">
        <w:rPr>
          <w:rFonts w:cstheme="minorHAnsi"/>
        </w:rPr>
        <w:t>for recruitment and hiring</w:t>
      </w:r>
    </w:p>
    <w:p w14:paraId="22EC7147" w14:textId="53EF75F2" w:rsidR="00146CCB" w:rsidRPr="00A85FD9" w:rsidRDefault="6DE476E5" w:rsidP="48798B2D">
      <w:pPr>
        <w:ind w:left="720"/>
        <w:rPr>
          <w:rFonts w:cstheme="minorHAnsi"/>
        </w:rPr>
      </w:pPr>
      <w:r w:rsidRPr="00A85FD9">
        <w:rPr>
          <w:rFonts w:cstheme="minorHAnsi"/>
        </w:rPr>
        <w:t>1</w:t>
      </w:r>
      <w:r w:rsidR="731F905C" w:rsidRPr="00A85FD9">
        <w:rPr>
          <w:rFonts w:cstheme="minorHAnsi"/>
        </w:rPr>
        <w:t>)</w:t>
      </w:r>
      <w:r w:rsidR="00146CCB" w:rsidRPr="00A85FD9">
        <w:rPr>
          <w:rFonts w:cstheme="minorHAnsi"/>
        </w:rPr>
        <w:t xml:space="preserve"> </w:t>
      </w:r>
      <w:r w:rsidR="0031225A" w:rsidRPr="00A85FD9">
        <w:rPr>
          <w:rFonts w:cstheme="minorHAnsi"/>
        </w:rPr>
        <w:t>All new clinical faculty searches regardless of rank o</w:t>
      </w:r>
      <w:r w:rsidR="00D0126D" w:rsidRPr="00A85FD9">
        <w:rPr>
          <w:rFonts w:cstheme="minorHAnsi"/>
        </w:rPr>
        <w:t>r</w:t>
      </w:r>
      <w:r w:rsidR="0031225A" w:rsidRPr="00A85FD9">
        <w:rPr>
          <w:rFonts w:cstheme="minorHAnsi"/>
        </w:rPr>
        <w:t xml:space="preserve"> track must be </w:t>
      </w:r>
      <w:r w:rsidR="6A0010CA" w:rsidRPr="00A85FD9">
        <w:rPr>
          <w:rFonts w:cstheme="minorHAnsi"/>
        </w:rPr>
        <w:t xml:space="preserve">reviewed </w:t>
      </w:r>
      <w:r w:rsidR="450D79AC" w:rsidRPr="00A85FD9">
        <w:rPr>
          <w:rFonts w:cstheme="minorHAnsi"/>
        </w:rPr>
        <w:t xml:space="preserve">by </w:t>
      </w:r>
      <w:r w:rsidR="70999853" w:rsidRPr="00A85FD9">
        <w:rPr>
          <w:rFonts w:cstheme="minorHAnsi"/>
        </w:rPr>
        <w:t>the Department Chai</w:t>
      </w:r>
      <w:r w:rsidR="000D1AB6" w:rsidRPr="00A85FD9">
        <w:rPr>
          <w:rFonts w:cstheme="minorHAnsi"/>
        </w:rPr>
        <w:t>rperson</w:t>
      </w:r>
      <w:r w:rsidR="6A0010CA" w:rsidRPr="00A85FD9">
        <w:rPr>
          <w:rFonts w:cstheme="minorHAnsi"/>
        </w:rPr>
        <w:t xml:space="preserve"> </w:t>
      </w:r>
      <w:r w:rsidR="1E25EEAE" w:rsidRPr="00A85FD9">
        <w:rPr>
          <w:rFonts w:cstheme="minorHAnsi"/>
        </w:rPr>
        <w:t xml:space="preserve">and </w:t>
      </w:r>
      <w:r w:rsidR="6A0010CA" w:rsidRPr="00A85FD9">
        <w:rPr>
          <w:rFonts w:cstheme="minorHAnsi"/>
        </w:rPr>
        <w:t xml:space="preserve">the Senior Associate Dean for Administration and Finance and then </w:t>
      </w:r>
      <w:r w:rsidR="0031225A" w:rsidRPr="00A85FD9">
        <w:rPr>
          <w:rFonts w:cstheme="minorHAnsi"/>
        </w:rPr>
        <w:t>approved by the Dean of the College of Medicine and Life Sciences</w:t>
      </w:r>
      <w:r w:rsidR="00D0126D" w:rsidRPr="00A85FD9">
        <w:rPr>
          <w:rFonts w:cstheme="minorHAnsi"/>
        </w:rPr>
        <w:t xml:space="preserve"> </w:t>
      </w:r>
      <w:r w:rsidR="0C10B61C" w:rsidRPr="00A85FD9">
        <w:rPr>
          <w:rFonts w:cstheme="minorHAnsi"/>
        </w:rPr>
        <w:t xml:space="preserve">prior to commencement of the </w:t>
      </w:r>
      <w:r w:rsidR="077EFB0D" w:rsidRPr="00A85FD9">
        <w:rPr>
          <w:rFonts w:cstheme="minorHAnsi"/>
        </w:rPr>
        <w:t>recruitment and hiring process</w:t>
      </w:r>
      <w:r w:rsidR="0031225A" w:rsidRPr="00A85FD9">
        <w:rPr>
          <w:rFonts w:cstheme="minorHAnsi"/>
        </w:rPr>
        <w:t>. Recruitment</w:t>
      </w:r>
      <w:r w:rsidR="10C51CEF" w:rsidRPr="00A85FD9">
        <w:rPr>
          <w:rFonts w:cstheme="minorHAnsi"/>
        </w:rPr>
        <w:t xml:space="preserve"> </w:t>
      </w:r>
      <w:r w:rsidR="38B94929" w:rsidRPr="00A85FD9">
        <w:rPr>
          <w:rFonts w:cstheme="minorHAnsi"/>
        </w:rPr>
        <w:t>review</w:t>
      </w:r>
      <w:r w:rsidR="5F81DAFD" w:rsidRPr="00A85FD9">
        <w:rPr>
          <w:rFonts w:cstheme="minorHAnsi"/>
        </w:rPr>
        <w:t>s</w:t>
      </w:r>
      <w:r w:rsidR="38B94929" w:rsidRPr="00A85FD9">
        <w:rPr>
          <w:rFonts w:cstheme="minorHAnsi"/>
        </w:rPr>
        <w:t xml:space="preserve"> </w:t>
      </w:r>
      <w:r w:rsidR="0031225A" w:rsidRPr="00A85FD9">
        <w:rPr>
          <w:rFonts w:cstheme="minorHAnsi"/>
        </w:rPr>
        <w:t xml:space="preserve">by the Dean </w:t>
      </w:r>
      <w:r w:rsidR="540A9D16" w:rsidRPr="00A85FD9">
        <w:rPr>
          <w:rFonts w:cstheme="minorHAnsi"/>
        </w:rPr>
        <w:t>will</w:t>
      </w:r>
      <w:r w:rsidR="0031225A" w:rsidRPr="00A85FD9">
        <w:rPr>
          <w:rFonts w:cstheme="minorHAnsi"/>
        </w:rPr>
        <w:t xml:space="preserve"> </w:t>
      </w:r>
      <w:r w:rsidR="540A9D16" w:rsidRPr="00A85FD9">
        <w:rPr>
          <w:rFonts w:cstheme="minorHAnsi"/>
        </w:rPr>
        <w:t xml:space="preserve">serve to </w:t>
      </w:r>
      <w:r w:rsidR="0031225A" w:rsidRPr="00A85FD9">
        <w:rPr>
          <w:rFonts w:cstheme="minorHAnsi"/>
        </w:rPr>
        <w:t>ensure alignment with the strategic direction of the University</w:t>
      </w:r>
      <w:r w:rsidR="33B9A6A0" w:rsidRPr="00A85FD9">
        <w:rPr>
          <w:rFonts w:cstheme="minorHAnsi"/>
        </w:rPr>
        <w:t>, the UT</w:t>
      </w:r>
      <w:r w:rsidR="0031225A" w:rsidRPr="00A85FD9">
        <w:rPr>
          <w:rFonts w:cstheme="minorHAnsi"/>
        </w:rPr>
        <w:t>COMLS</w:t>
      </w:r>
      <w:r w:rsidR="001813D3" w:rsidRPr="00A85FD9">
        <w:rPr>
          <w:rFonts w:cstheme="minorHAnsi"/>
        </w:rPr>
        <w:t xml:space="preserve"> and </w:t>
      </w:r>
      <w:r w:rsidR="2D8C820F" w:rsidRPr="00A85FD9">
        <w:rPr>
          <w:rFonts w:cstheme="minorHAnsi"/>
        </w:rPr>
        <w:t xml:space="preserve">with </w:t>
      </w:r>
      <w:r w:rsidR="000E5B17" w:rsidRPr="00A85FD9">
        <w:rPr>
          <w:rFonts w:cstheme="minorHAnsi"/>
        </w:rPr>
        <w:t xml:space="preserve">best </w:t>
      </w:r>
      <w:r w:rsidR="001813D3" w:rsidRPr="00A85FD9">
        <w:rPr>
          <w:rFonts w:cstheme="minorHAnsi"/>
        </w:rPr>
        <w:t xml:space="preserve">fiscal </w:t>
      </w:r>
      <w:r w:rsidR="000E5B17" w:rsidRPr="00A85FD9">
        <w:rPr>
          <w:rFonts w:cstheme="minorHAnsi"/>
        </w:rPr>
        <w:t>practices</w:t>
      </w:r>
      <w:r w:rsidR="0031225A" w:rsidRPr="00A85FD9">
        <w:rPr>
          <w:rFonts w:cstheme="minorHAnsi"/>
        </w:rPr>
        <w:t>.</w:t>
      </w:r>
    </w:p>
    <w:p w14:paraId="1D211308" w14:textId="0F6E5CD3" w:rsidR="13760148" w:rsidRPr="00A85FD9" w:rsidRDefault="552EF97A" w:rsidP="4857FB73">
      <w:pPr>
        <w:ind w:left="720"/>
        <w:rPr>
          <w:rFonts w:eastAsia="Calibri" w:cstheme="minorHAnsi"/>
          <w:color w:val="000000" w:themeColor="text1"/>
        </w:rPr>
      </w:pPr>
      <w:r w:rsidRPr="00A85FD9">
        <w:rPr>
          <w:rFonts w:cstheme="minorHAnsi"/>
        </w:rPr>
        <w:t>2</w:t>
      </w:r>
      <w:r w:rsidR="005D105D" w:rsidRPr="00A85FD9">
        <w:rPr>
          <w:rFonts w:cstheme="minorHAnsi"/>
        </w:rPr>
        <w:t xml:space="preserve">) After </w:t>
      </w:r>
      <w:r w:rsidR="2A6476B8" w:rsidRPr="00A85FD9">
        <w:rPr>
          <w:rFonts w:cstheme="minorHAnsi"/>
        </w:rPr>
        <w:t>approval is obtained for a new clinical faculty recruitment,</w:t>
      </w:r>
      <w:r w:rsidR="2AF85838" w:rsidRPr="00A85FD9">
        <w:rPr>
          <w:rFonts w:cstheme="minorHAnsi"/>
        </w:rPr>
        <w:t xml:space="preserve"> </w:t>
      </w:r>
      <w:r w:rsidR="7F189811" w:rsidRPr="00A85FD9">
        <w:rPr>
          <w:rFonts w:cstheme="minorHAnsi"/>
        </w:rPr>
        <w:t xml:space="preserve">a faculty requisition request is created within </w:t>
      </w:r>
      <w:r w:rsidR="1D1872FF" w:rsidRPr="00A85FD9">
        <w:rPr>
          <w:rFonts w:cstheme="minorHAnsi"/>
        </w:rPr>
        <w:t xml:space="preserve">University approved </w:t>
      </w:r>
      <w:r w:rsidR="580A8278" w:rsidRPr="00A85FD9">
        <w:rPr>
          <w:rFonts w:eastAsia="Calibri" w:cstheme="minorHAnsi"/>
        </w:rPr>
        <w:t>software for</w:t>
      </w:r>
      <w:r w:rsidR="53A90332" w:rsidRPr="00A85FD9">
        <w:rPr>
          <w:rFonts w:eastAsia="Calibri" w:cstheme="minorHAnsi"/>
        </w:rPr>
        <w:t xml:space="preserve"> faculty position job posting</w:t>
      </w:r>
      <w:r w:rsidR="3D0EAA3A" w:rsidRPr="00A85FD9">
        <w:rPr>
          <w:rFonts w:eastAsia="Calibri" w:cstheme="minorHAnsi"/>
        </w:rPr>
        <w:t>s</w:t>
      </w:r>
      <w:r w:rsidR="425E53FC" w:rsidRPr="00A85FD9">
        <w:rPr>
          <w:rFonts w:eastAsia="Calibri" w:cstheme="minorHAnsi"/>
        </w:rPr>
        <w:t xml:space="preserve">, </w:t>
      </w:r>
      <w:r w:rsidR="53A90332" w:rsidRPr="00A85FD9">
        <w:rPr>
          <w:rFonts w:eastAsia="Calibri" w:cstheme="minorHAnsi"/>
        </w:rPr>
        <w:t>applicant management</w:t>
      </w:r>
      <w:r w:rsidR="2EE88E3C" w:rsidRPr="00A85FD9">
        <w:rPr>
          <w:rFonts w:eastAsia="Calibri" w:cstheme="minorHAnsi"/>
        </w:rPr>
        <w:t>, and other search related functions</w:t>
      </w:r>
      <w:r w:rsidR="12FEC317" w:rsidRPr="00A85FD9">
        <w:rPr>
          <w:rFonts w:eastAsia="Calibri" w:cstheme="minorHAnsi"/>
        </w:rPr>
        <w:t xml:space="preserve"> (such as Cornerstone software system</w:t>
      </w:r>
      <w:r w:rsidR="515DF6D4" w:rsidRPr="00A85FD9">
        <w:rPr>
          <w:rFonts w:eastAsia="Calibri" w:cstheme="minorHAnsi"/>
        </w:rPr>
        <w:t xml:space="preserve">). </w:t>
      </w:r>
      <w:r w:rsidR="28111EF3" w:rsidRPr="00A85FD9">
        <w:rPr>
          <w:rFonts w:eastAsia="Calibri" w:cstheme="minorHAnsi"/>
        </w:rPr>
        <w:t>T</w:t>
      </w:r>
      <w:r w:rsidR="13760148" w:rsidRPr="00A85FD9">
        <w:rPr>
          <w:rFonts w:eastAsia="Calibri" w:cstheme="minorHAnsi"/>
          <w:color w:val="000000" w:themeColor="text1"/>
        </w:rPr>
        <w:t xml:space="preserve">he Department Chair </w:t>
      </w:r>
      <w:r w:rsidR="3D91DD56" w:rsidRPr="00A85FD9">
        <w:rPr>
          <w:rFonts w:eastAsia="Calibri" w:cstheme="minorHAnsi"/>
          <w:color w:val="000000" w:themeColor="text1"/>
        </w:rPr>
        <w:t>(</w:t>
      </w:r>
      <w:r w:rsidR="13760148" w:rsidRPr="00A85FD9">
        <w:rPr>
          <w:rFonts w:eastAsia="Calibri" w:cstheme="minorHAnsi"/>
          <w:color w:val="000000" w:themeColor="text1"/>
        </w:rPr>
        <w:t xml:space="preserve">or </w:t>
      </w:r>
      <w:r w:rsidR="4B3C9B72" w:rsidRPr="00A85FD9">
        <w:rPr>
          <w:rFonts w:eastAsia="Calibri" w:cstheme="minorHAnsi"/>
          <w:color w:val="000000" w:themeColor="text1"/>
        </w:rPr>
        <w:t xml:space="preserve">the </w:t>
      </w:r>
      <w:r w:rsidR="13760148" w:rsidRPr="00A85FD9">
        <w:rPr>
          <w:rFonts w:eastAsia="Calibri" w:cstheme="minorHAnsi"/>
          <w:color w:val="000000" w:themeColor="text1"/>
        </w:rPr>
        <w:t xml:space="preserve">Dean of the COMLS </w:t>
      </w:r>
      <w:r w:rsidR="71697A77" w:rsidRPr="00A85FD9">
        <w:rPr>
          <w:rFonts w:eastAsia="Calibri" w:cstheme="minorHAnsi"/>
          <w:color w:val="000000" w:themeColor="text1"/>
        </w:rPr>
        <w:t xml:space="preserve">for new clinical faculty recruitments of Departmental Chairs and Associate Deans) </w:t>
      </w:r>
      <w:r w:rsidR="13760148" w:rsidRPr="00A85FD9">
        <w:rPr>
          <w:rFonts w:eastAsia="Calibri" w:cstheme="minorHAnsi"/>
          <w:color w:val="000000" w:themeColor="text1"/>
        </w:rPr>
        <w:t xml:space="preserve">will </w:t>
      </w:r>
      <w:r w:rsidR="6747FFC2" w:rsidRPr="00A85FD9">
        <w:rPr>
          <w:rFonts w:eastAsia="Calibri" w:cstheme="minorHAnsi"/>
          <w:color w:val="000000" w:themeColor="text1"/>
        </w:rPr>
        <w:t xml:space="preserve">then </w:t>
      </w:r>
      <w:r w:rsidR="6077035B" w:rsidRPr="00A85FD9">
        <w:rPr>
          <w:rFonts w:eastAsia="Calibri" w:cstheme="minorHAnsi"/>
          <w:color w:val="000000" w:themeColor="text1"/>
        </w:rPr>
        <w:t xml:space="preserve">assemble a search </w:t>
      </w:r>
      <w:r w:rsidR="13760148" w:rsidRPr="00A85FD9">
        <w:rPr>
          <w:rFonts w:eastAsia="Calibri" w:cstheme="minorHAnsi"/>
          <w:color w:val="000000" w:themeColor="text1"/>
        </w:rPr>
        <w:t>committee and appoint a chairperson to organize, plan, and conduct the search</w:t>
      </w:r>
      <w:r w:rsidR="49395FD6" w:rsidRPr="00A85FD9">
        <w:rPr>
          <w:rFonts w:eastAsia="Calibri" w:cstheme="minorHAnsi"/>
          <w:color w:val="000000" w:themeColor="text1"/>
        </w:rPr>
        <w:t>.</w:t>
      </w:r>
      <w:r w:rsidR="13760148" w:rsidRPr="00A85FD9">
        <w:rPr>
          <w:rFonts w:eastAsia="Calibri" w:cstheme="minorHAnsi"/>
          <w:color w:val="000000" w:themeColor="text1"/>
        </w:rPr>
        <w:t xml:space="preserve"> The search committee shall be as diverse as possible in alignment with applicable </w:t>
      </w:r>
      <w:r w:rsidR="00AE2C13" w:rsidRPr="00A85FD9">
        <w:rPr>
          <w:rFonts w:eastAsia="Calibri" w:cstheme="minorHAnsi"/>
          <w:color w:val="000000" w:themeColor="text1"/>
        </w:rPr>
        <w:t>non</w:t>
      </w:r>
      <w:r w:rsidR="005230B8" w:rsidRPr="00A85FD9">
        <w:rPr>
          <w:rFonts w:eastAsia="Calibri" w:cstheme="minorHAnsi"/>
          <w:color w:val="000000" w:themeColor="text1"/>
        </w:rPr>
        <w:t>-</w:t>
      </w:r>
      <w:r w:rsidR="00AE2C13" w:rsidRPr="00A85FD9">
        <w:rPr>
          <w:rFonts w:eastAsia="Calibri" w:cstheme="minorHAnsi"/>
          <w:color w:val="000000" w:themeColor="text1"/>
        </w:rPr>
        <w:t>discrim</w:t>
      </w:r>
      <w:r w:rsidR="005230B8" w:rsidRPr="00A85FD9">
        <w:rPr>
          <w:rFonts w:eastAsia="Calibri" w:cstheme="minorHAnsi"/>
          <w:color w:val="000000" w:themeColor="text1"/>
        </w:rPr>
        <w:t xml:space="preserve">ination </w:t>
      </w:r>
      <w:r w:rsidR="13760148" w:rsidRPr="00A85FD9">
        <w:rPr>
          <w:rFonts w:eastAsia="Calibri" w:cstheme="minorHAnsi"/>
          <w:color w:val="000000" w:themeColor="text1"/>
        </w:rPr>
        <w:t>University</w:t>
      </w:r>
      <w:r w:rsidR="00E22CDB" w:rsidRPr="00A85FD9">
        <w:rPr>
          <w:rFonts w:eastAsia="Calibri" w:cstheme="minorHAnsi"/>
          <w:color w:val="000000" w:themeColor="text1"/>
        </w:rPr>
        <w:t xml:space="preserve"> policies</w:t>
      </w:r>
      <w:r w:rsidR="005230B8" w:rsidRPr="00A85FD9">
        <w:rPr>
          <w:rFonts w:eastAsia="Calibri" w:cstheme="minorHAnsi"/>
          <w:color w:val="000000" w:themeColor="text1"/>
        </w:rPr>
        <w:t xml:space="preserve"> </w:t>
      </w:r>
      <w:r w:rsidR="6532F0C7" w:rsidRPr="00A85FD9">
        <w:rPr>
          <w:rFonts w:eastAsia="Calibri" w:cstheme="minorHAnsi"/>
          <w:color w:val="000000" w:themeColor="text1"/>
        </w:rPr>
        <w:t xml:space="preserve">and shall complete required training in diversity </w:t>
      </w:r>
      <w:r w:rsidR="6C55A25C" w:rsidRPr="00A85FD9">
        <w:rPr>
          <w:rFonts w:eastAsia="Calibri" w:cstheme="minorHAnsi"/>
          <w:color w:val="000000" w:themeColor="text1"/>
        </w:rPr>
        <w:t>hiring practices</w:t>
      </w:r>
      <w:r w:rsidR="0DF83E0D" w:rsidRPr="00A85FD9">
        <w:rPr>
          <w:rFonts w:eastAsia="Calibri" w:cstheme="minorHAnsi"/>
          <w:color w:val="000000" w:themeColor="text1"/>
        </w:rPr>
        <w:t xml:space="preserve"> prior to start of the </w:t>
      </w:r>
      <w:r w:rsidR="00E22CDB" w:rsidRPr="00A85FD9">
        <w:rPr>
          <w:rFonts w:eastAsia="Calibri" w:cstheme="minorHAnsi"/>
          <w:color w:val="000000" w:themeColor="text1"/>
        </w:rPr>
        <w:t xml:space="preserve">search.  </w:t>
      </w:r>
      <w:r w:rsidR="13760148" w:rsidRPr="00A85FD9">
        <w:rPr>
          <w:rFonts w:eastAsia="Calibri" w:cstheme="minorHAnsi"/>
          <w:color w:val="000000" w:themeColor="text1"/>
        </w:rPr>
        <w:t xml:space="preserve">The </w:t>
      </w:r>
      <w:r w:rsidR="79A0EA79" w:rsidRPr="00A85FD9">
        <w:rPr>
          <w:rFonts w:eastAsia="Calibri" w:cstheme="minorHAnsi"/>
          <w:color w:val="000000" w:themeColor="text1"/>
        </w:rPr>
        <w:t xml:space="preserve">Chair or </w:t>
      </w:r>
      <w:r w:rsidR="13760148" w:rsidRPr="00A85FD9">
        <w:rPr>
          <w:rFonts w:eastAsia="Calibri" w:cstheme="minorHAnsi"/>
          <w:color w:val="000000" w:themeColor="text1"/>
        </w:rPr>
        <w:t>Dean will submit a formal charge to the committee in writing at the start of the search. T</w:t>
      </w:r>
      <w:r w:rsidR="0BDBB47A" w:rsidRPr="00A85FD9">
        <w:rPr>
          <w:rFonts w:eastAsia="Calibri" w:cstheme="minorHAnsi"/>
          <w:color w:val="000000" w:themeColor="text1"/>
        </w:rPr>
        <w:t>he charge will include the</w:t>
      </w:r>
      <w:r w:rsidR="05438318" w:rsidRPr="00A85FD9">
        <w:rPr>
          <w:rFonts w:eastAsia="Calibri" w:cstheme="minorHAnsi"/>
          <w:color w:val="000000" w:themeColor="text1"/>
        </w:rPr>
        <w:t xml:space="preserve"> position description</w:t>
      </w:r>
      <w:r w:rsidR="4815B384" w:rsidRPr="00A85FD9">
        <w:rPr>
          <w:rFonts w:eastAsia="Calibri" w:cstheme="minorHAnsi"/>
          <w:color w:val="000000" w:themeColor="text1"/>
        </w:rPr>
        <w:t xml:space="preserve"> and </w:t>
      </w:r>
      <w:r w:rsidR="05438318" w:rsidRPr="00A85FD9">
        <w:rPr>
          <w:rFonts w:eastAsia="Calibri" w:cstheme="minorHAnsi"/>
          <w:color w:val="000000" w:themeColor="text1"/>
        </w:rPr>
        <w:t>the required/preferred qualifications regarding e</w:t>
      </w:r>
      <w:r w:rsidR="05438318" w:rsidRPr="00A85FD9">
        <w:rPr>
          <w:rFonts w:cstheme="minorHAnsi"/>
        </w:rPr>
        <w:t xml:space="preserve">ducation, experience, and licensure, and </w:t>
      </w:r>
      <w:r w:rsidR="12119A6C" w:rsidRPr="00A85FD9">
        <w:rPr>
          <w:rFonts w:cstheme="minorHAnsi"/>
        </w:rPr>
        <w:t>may also include a timeline</w:t>
      </w:r>
      <w:r w:rsidR="05438318" w:rsidRPr="00A85FD9">
        <w:rPr>
          <w:rFonts w:cstheme="minorHAnsi"/>
        </w:rPr>
        <w:t>.</w:t>
      </w:r>
    </w:p>
    <w:p w14:paraId="6F0ECD3E" w14:textId="78E0FEE2" w:rsidR="13760148" w:rsidRPr="00A85FD9" w:rsidRDefault="7000A304" w:rsidP="4857FB73">
      <w:pPr>
        <w:ind w:left="720" w:firstLine="720"/>
        <w:rPr>
          <w:rFonts w:eastAsia="Calibri" w:cstheme="minorHAnsi"/>
          <w:color w:val="000000" w:themeColor="text1"/>
        </w:rPr>
      </w:pPr>
      <w:r w:rsidRPr="00A85FD9">
        <w:rPr>
          <w:rFonts w:eastAsia="Calibri" w:cstheme="minorHAnsi"/>
          <w:color w:val="000000" w:themeColor="text1"/>
        </w:rPr>
        <w:t>a</w:t>
      </w:r>
      <w:r w:rsidR="01B7D711" w:rsidRPr="00A85FD9">
        <w:rPr>
          <w:rFonts w:eastAsia="Calibri" w:cstheme="minorHAnsi"/>
          <w:color w:val="000000" w:themeColor="text1"/>
        </w:rPr>
        <w:t xml:space="preserve">) </w:t>
      </w:r>
      <w:r w:rsidR="0BDBB47A" w:rsidRPr="00A85FD9">
        <w:rPr>
          <w:rFonts w:eastAsia="Calibri" w:cstheme="minorHAnsi"/>
          <w:color w:val="000000" w:themeColor="text1"/>
        </w:rPr>
        <w:t>T</w:t>
      </w:r>
      <w:r w:rsidR="13760148" w:rsidRPr="00A85FD9">
        <w:rPr>
          <w:rFonts w:eastAsia="Calibri" w:cstheme="minorHAnsi"/>
          <w:color w:val="000000" w:themeColor="text1"/>
        </w:rPr>
        <w:t xml:space="preserve">he search committee chair and members will then be responsible for: </w:t>
      </w:r>
    </w:p>
    <w:p w14:paraId="180F130A" w14:textId="791DA053" w:rsidR="13760148" w:rsidRPr="00A85FD9" w:rsidRDefault="13760148" w:rsidP="4857FB73">
      <w:pPr>
        <w:pStyle w:val="ListParagraph"/>
        <w:numPr>
          <w:ilvl w:val="2"/>
          <w:numId w:val="2"/>
        </w:numPr>
        <w:rPr>
          <w:rFonts w:cstheme="minorHAnsi"/>
          <w:color w:val="000000" w:themeColor="text1"/>
        </w:rPr>
      </w:pPr>
      <w:r w:rsidRPr="00A85FD9">
        <w:rPr>
          <w:rFonts w:eastAsia="Times New Roman" w:cstheme="minorHAnsi"/>
          <w:color w:val="000000" w:themeColor="text1"/>
        </w:rPr>
        <w:t xml:space="preserve">Developing </w:t>
      </w:r>
      <w:r w:rsidR="2533A020" w:rsidRPr="00A85FD9">
        <w:rPr>
          <w:rFonts w:eastAsia="Times New Roman" w:cstheme="minorHAnsi"/>
          <w:color w:val="000000" w:themeColor="text1"/>
        </w:rPr>
        <w:t xml:space="preserve">additional </w:t>
      </w:r>
      <w:r w:rsidRPr="00A85FD9">
        <w:rPr>
          <w:rFonts w:eastAsia="Times New Roman" w:cstheme="minorHAnsi"/>
          <w:color w:val="000000" w:themeColor="text1"/>
        </w:rPr>
        <w:t>position specifications as needed to perform the search</w:t>
      </w:r>
    </w:p>
    <w:p w14:paraId="1BE1B8B9" w14:textId="49F8001F" w:rsidR="13760148" w:rsidRPr="00A85FD9" w:rsidRDefault="13760148" w:rsidP="4857FB73">
      <w:pPr>
        <w:pStyle w:val="ListParagraph"/>
        <w:numPr>
          <w:ilvl w:val="2"/>
          <w:numId w:val="2"/>
        </w:numPr>
        <w:rPr>
          <w:rFonts w:cstheme="minorHAnsi"/>
          <w:color w:val="000000" w:themeColor="text1"/>
        </w:rPr>
      </w:pPr>
      <w:r w:rsidRPr="00A85FD9">
        <w:rPr>
          <w:rFonts w:eastAsia="Times New Roman" w:cstheme="minorHAnsi"/>
          <w:color w:val="000000" w:themeColor="text1"/>
        </w:rPr>
        <w:t xml:space="preserve">Selecting advertising mediums and preparing advertisements </w:t>
      </w:r>
      <w:r w:rsidR="3E6C6AE3" w:rsidRPr="00A85FD9">
        <w:rPr>
          <w:rFonts w:eastAsia="Times New Roman" w:cstheme="minorHAnsi"/>
          <w:color w:val="000000" w:themeColor="text1"/>
        </w:rPr>
        <w:t>in alignment with the</w:t>
      </w:r>
      <w:r w:rsidR="3E6C6AE3" w:rsidRPr="00A85FD9">
        <w:rPr>
          <w:rFonts w:eastAsia="Times New Roman" w:cstheme="minorHAnsi"/>
        </w:rPr>
        <w:t xml:space="preserve"> </w:t>
      </w:r>
      <w:r w:rsidR="000F096B" w:rsidRPr="00A85FD9">
        <w:rPr>
          <w:rFonts w:eastAsia="Times New Roman" w:cstheme="minorHAnsi"/>
        </w:rPr>
        <w:t>University and the COMLS strategic Plan</w:t>
      </w:r>
      <w:r w:rsidR="00A85FD9">
        <w:rPr>
          <w:rFonts w:eastAsia="Times New Roman" w:cstheme="minorHAnsi"/>
        </w:rPr>
        <w:t>s</w:t>
      </w:r>
      <w:r w:rsidR="005A36C2" w:rsidRPr="00A85FD9">
        <w:rPr>
          <w:rFonts w:eastAsia="Times New Roman" w:cstheme="minorHAnsi"/>
        </w:rPr>
        <w:t>.</w:t>
      </w:r>
    </w:p>
    <w:p w14:paraId="72B09F41" w14:textId="0B198A5A" w:rsidR="1B4B2111" w:rsidRPr="00A85FD9" w:rsidRDefault="1B4B2111" w:rsidP="4857FB73">
      <w:pPr>
        <w:pStyle w:val="ListParagraph"/>
        <w:numPr>
          <w:ilvl w:val="3"/>
          <w:numId w:val="2"/>
        </w:numPr>
        <w:rPr>
          <w:rFonts w:cstheme="minorHAnsi"/>
          <w:color w:val="000000" w:themeColor="text1"/>
          <w:sz w:val="24"/>
          <w:szCs w:val="24"/>
        </w:rPr>
      </w:pPr>
      <w:r w:rsidRPr="00A85FD9">
        <w:rPr>
          <w:rFonts w:eastAsia="Calibri" w:cstheme="minorHAnsi"/>
          <w:color w:val="000000" w:themeColor="text1"/>
        </w:rPr>
        <w:lastRenderedPageBreak/>
        <w:t xml:space="preserve">Advertising shall be done in a way to reach the largest possible audience of persons qualified for and potentially interested in the position and shall include media sources as well as publications that specialize in circulation to women and minority groups. The Office of </w:t>
      </w:r>
      <w:r w:rsidR="00614974">
        <w:rPr>
          <w:rFonts w:eastAsia="Calibri" w:cstheme="minorHAnsi"/>
          <w:color w:val="000000" w:themeColor="text1"/>
        </w:rPr>
        <w:t xml:space="preserve">Diversity and Inclusion </w:t>
      </w:r>
      <w:r w:rsidRPr="00A85FD9">
        <w:rPr>
          <w:rFonts w:eastAsia="Calibri" w:cstheme="minorHAnsi"/>
          <w:color w:val="000000" w:themeColor="text1"/>
        </w:rPr>
        <w:t>will make a good faith effort to recommend publications to target underrepresented groups</w:t>
      </w:r>
      <w:r w:rsidR="00535AA8">
        <w:rPr>
          <w:rFonts w:eastAsia="Calibri" w:cstheme="minorHAnsi"/>
          <w:color w:val="000000" w:themeColor="text1"/>
        </w:rPr>
        <w:t xml:space="preserve"> </w:t>
      </w:r>
      <w:r w:rsidRPr="00A85FD9">
        <w:rPr>
          <w:rFonts w:eastAsia="Calibri" w:cstheme="minorHAnsi"/>
          <w:color w:val="000000" w:themeColor="text1"/>
        </w:rPr>
        <w:t xml:space="preserve">and suggest methods which are most likely to result in the inclusion of qualified minorities and women in the applicant pool. Good faith efforts shall be made in all searches to increase minorities and women in the applicant pool. </w:t>
      </w:r>
      <w:r w:rsidRPr="00A85FD9">
        <w:rPr>
          <w:rFonts w:cstheme="minorHAnsi"/>
        </w:rPr>
        <w:br/>
      </w:r>
    </w:p>
    <w:p w14:paraId="1CC33DCF" w14:textId="7F77D815" w:rsidR="13760148" w:rsidRPr="00A85FD9" w:rsidRDefault="13760148" w:rsidP="4857FB73">
      <w:pPr>
        <w:pStyle w:val="ListParagraph"/>
        <w:numPr>
          <w:ilvl w:val="2"/>
          <w:numId w:val="2"/>
        </w:numPr>
        <w:rPr>
          <w:rFonts w:cstheme="minorHAnsi"/>
          <w:color w:val="000000" w:themeColor="text1"/>
        </w:rPr>
      </w:pPr>
      <w:r w:rsidRPr="00A85FD9">
        <w:rPr>
          <w:rFonts w:eastAsia="Calibri" w:cstheme="minorHAnsi"/>
          <w:color w:val="000000" w:themeColor="text1"/>
        </w:rPr>
        <w:t xml:space="preserve">Reviewing applications to determine if applicants meet the advertised qualifications </w:t>
      </w:r>
    </w:p>
    <w:p w14:paraId="16881BE6" w14:textId="0D68AEC2" w:rsidR="13760148" w:rsidRPr="007A3E66" w:rsidRDefault="13760148" w:rsidP="007D3D7B">
      <w:pPr>
        <w:pStyle w:val="Heading1"/>
        <w:rPr>
          <w:rFonts w:asciiTheme="minorHAnsi" w:hAnsiTheme="minorHAnsi" w:cstheme="minorHAnsi"/>
          <w:color w:val="auto"/>
          <w:sz w:val="28"/>
          <w:szCs w:val="28"/>
        </w:rPr>
      </w:pPr>
      <w:r w:rsidRPr="007A3E66">
        <w:rPr>
          <w:rFonts w:asciiTheme="minorHAnsi" w:eastAsia="Calibri" w:hAnsiTheme="minorHAnsi" w:cstheme="minorHAnsi"/>
          <w:color w:val="auto"/>
          <w:sz w:val="28"/>
          <w:szCs w:val="28"/>
        </w:rPr>
        <w:t xml:space="preserve">Developing interview questions </w:t>
      </w:r>
    </w:p>
    <w:p w14:paraId="6F009E90" w14:textId="5D49CD6D" w:rsidR="13760148" w:rsidRPr="007A3E66" w:rsidRDefault="13760148" w:rsidP="4857FB73">
      <w:pPr>
        <w:pStyle w:val="ListParagraph"/>
        <w:numPr>
          <w:ilvl w:val="2"/>
          <w:numId w:val="2"/>
        </w:numPr>
        <w:rPr>
          <w:rFonts w:cstheme="minorHAnsi"/>
          <w:color w:val="000000" w:themeColor="text1"/>
        </w:rPr>
      </w:pPr>
      <w:r w:rsidRPr="007A3E66">
        <w:rPr>
          <w:rFonts w:eastAsia="Times New Roman" w:cstheme="minorHAnsi"/>
          <w:color w:val="000000" w:themeColor="text1"/>
        </w:rPr>
        <w:t xml:space="preserve">Evaluating and comparing candidates </w:t>
      </w:r>
    </w:p>
    <w:p w14:paraId="29D62968" w14:textId="191DCA4D" w:rsidR="13760148" w:rsidRPr="007A3E66" w:rsidRDefault="13760148" w:rsidP="4857FB73">
      <w:pPr>
        <w:pStyle w:val="ListParagraph"/>
        <w:numPr>
          <w:ilvl w:val="2"/>
          <w:numId w:val="2"/>
        </w:numPr>
        <w:rPr>
          <w:rFonts w:cstheme="minorHAnsi"/>
          <w:color w:val="000000" w:themeColor="text1"/>
        </w:rPr>
      </w:pPr>
      <w:r w:rsidRPr="007A3E66">
        <w:rPr>
          <w:rFonts w:eastAsia="Times New Roman" w:cstheme="minorHAnsi"/>
          <w:color w:val="000000" w:themeColor="text1"/>
        </w:rPr>
        <w:t xml:space="preserve">Ensuring Equal Employment Opportunity practices are followed, and making a good faith effort to recruit and hire individuals from underrepresented minority groups </w:t>
      </w:r>
    </w:p>
    <w:p w14:paraId="67164429" w14:textId="3BD50575" w:rsidR="13760148" w:rsidRPr="007A3E66" w:rsidRDefault="13760148" w:rsidP="4857FB73">
      <w:pPr>
        <w:pStyle w:val="ListParagraph"/>
        <w:numPr>
          <w:ilvl w:val="2"/>
          <w:numId w:val="2"/>
        </w:numPr>
        <w:rPr>
          <w:rFonts w:cstheme="minorHAnsi"/>
          <w:color w:val="000000" w:themeColor="text1"/>
        </w:rPr>
      </w:pPr>
      <w:r w:rsidRPr="007A3E66">
        <w:rPr>
          <w:rFonts w:eastAsia="Calibri" w:cstheme="minorHAnsi"/>
          <w:color w:val="000000" w:themeColor="text1"/>
        </w:rPr>
        <w:t xml:space="preserve">Maintaining appropriate confidentiality about search committee proceedings </w:t>
      </w:r>
    </w:p>
    <w:p w14:paraId="68EE4003" w14:textId="26E976F3" w:rsidR="13760148" w:rsidRPr="007A3E66" w:rsidRDefault="1AD9DC23" w:rsidP="4857FB73">
      <w:pPr>
        <w:pStyle w:val="ListParagraph"/>
        <w:numPr>
          <w:ilvl w:val="2"/>
          <w:numId w:val="2"/>
        </w:numPr>
        <w:rPr>
          <w:rFonts w:cstheme="minorHAnsi"/>
          <w:color w:val="000000" w:themeColor="text1"/>
        </w:rPr>
      </w:pPr>
      <w:r w:rsidRPr="007A3E66">
        <w:rPr>
          <w:rFonts w:eastAsia="Calibri" w:cstheme="minorHAnsi"/>
          <w:color w:val="000000" w:themeColor="text1"/>
        </w:rPr>
        <w:t xml:space="preserve">Maintaining </w:t>
      </w:r>
      <w:r w:rsidR="2D1886A8" w:rsidRPr="007A3E66">
        <w:rPr>
          <w:rFonts w:eastAsia="Calibri" w:cstheme="minorHAnsi"/>
          <w:color w:val="000000" w:themeColor="text1"/>
        </w:rPr>
        <w:t xml:space="preserve">written documentation of </w:t>
      </w:r>
      <w:r w:rsidR="766A8E65" w:rsidRPr="007A3E66">
        <w:rPr>
          <w:rFonts w:eastAsia="Calibri" w:cstheme="minorHAnsi"/>
          <w:color w:val="000000" w:themeColor="text1"/>
        </w:rPr>
        <w:t xml:space="preserve">the </w:t>
      </w:r>
      <w:r w:rsidR="2D1886A8" w:rsidRPr="007A3E66">
        <w:rPr>
          <w:rFonts w:eastAsia="Calibri" w:cstheme="minorHAnsi"/>
          <w:color w:val="000000" w:themeColor="text1"/>
        </w:rPr>
        <w:t xml:space="preserve">candidate </w:t>
      </w:r>
      <w:r w:rsidR="56234BE3" w:rsidRPr="007A3E66">
        <w:rPr>
          <w:rFonts w:eastAsia="Calibri" w:cstheme="minorHAnsi"/>
          <w:color w:val="000000" w:themeColor="text1"/>
        </w:rPr>
        <w:t>s</w:t>
      </w:r>
      <w:r w:rsidR="2D1886A8" w:rsidRPr="007A3E66">
        <w:rPr>
          <w:rFonts w:eastAsia="Calibri" w:cstheme="minorHAnsi"/>
          <w:color w:val="000000" w:themeColor="text1"/>
        </w:rPr>
        <w:t>e</w:t>
      </w:r>
      <w:r w:rsidR="56234BE3" w:rsidRPr="007A3E66">
        <w:rPr>
          <w:rFonts w:eastAsia="Calibri" w:cstheme="minorHAnsi"/>
          <w:color w:val="000000" w:themeColor="text1"/>
        </w:rPr>
        <w:t>lection process utilizing the University software</w:t>
      </w:r>
      <w:r w:rsidR="60BB5A02" w:rsidRPr="007A3E66">
        <w:rPr>
          <w:rFonts w:eastAsia="Calibri" w:cstheme="minorHAnsi"/>
          <w:color w:val="000000" w:themeColor="text1"/>
        </w:rPr>
        <w:t xml:space="preserve"> (such as Cornerstone)</w:t>
      </w:r>
      <w:r w:rsidR="0917E1C0" w:rsidRPr="007A3E66">
        <w:rPr>
          <w:rFonts w:eastAsia="Calibri" w:cstheme="minorHAnsi"/>
          <w:color w:val="000000" w:themeColor="text1"/>
        </w:rPr>
        <w:t xml:space="preserve"> </w:t>
      </w:r>
    </w:p>
    <w:p w14:paraId="6D16B6A5" w14:textId="77777777" w:rsidR="003D7BDC" w:rsidRPr="007A3E66" w:rsidRDefault="003D7BDC" w:rsidP="003D7BDC">
      <w:pPr>
        <w:pStyle w:val="ListParagraph"/>
        <w:ind w:left="1440"/>
        <w:rPr>
          <w:rFonts w:cstheme="minorHAnsi"/>
          <w:color w:val="000000" w:themeColor="text1"/>
        </w:rPr>
      </w:pPr>
    </w:p>
    <w:p w14:paraId="1FFEF442" w14:textId="2FBC43A8" w:rsidR="13760148" w:rsidRPr="007A3E66" w:rsidRDefault="13760148" w:rsidP="4857FB73">
      <w:pPr>
        <w:pStyle w:val="ListParagraph"/>
        <w:numPr>
          <w:ilvl w:val="1"/>
          <w:numId w:val="2"/>
        </w:numPr>
        <w:rPr>
          <w:rFonts w:cstheme="minorHAnsi"/>
          <w:color w:val="000000" w:themeColor="text1"/>
        </w:rPr>
      </w:pPr>
      <w:r w:rsidRPr="007A3E66">
        <w:rPr>
          <w:rFonts w:eastAsia="Times New Roman" w:cstheme="minorHAnsi"/>
          <w:color w:val="000000" w:themeColor="text1"/>
        </w:rPr>
        <w:t>After a thorough review of the applicant pool and completion of the search, interview, and assessment process, the search committee will make a recommendation to the search committee chair. The search committee chair will then forward the final recommendation to the Department Chair or Dean.  The recommendation must be accompanied by the candidate’s curriculum vitae and a description of the workload assign</w:t>
      </w:r>
      <w:r w:rsidRPr="007A3E66">
        <w:rPr>
          <w:rFonts w:eastAsia="Times New Roman" w:cstheme="minorHAnsi"/>
          <w:color w:val="000000" w:themeColor="text1"/>
        </w:rPr>
        <w:lastRenderedPageBreak/>
        <w:t>ment, proposed compensation</w:t>
      </w:r>
      <w:r w:rsidR="6756831F" w:rsidRPr="007A3E66">
        <w:rPr>
          <w:rFonts w:eastAsia="Times New Roman" w:cstheme="minorHAnsi"/>
          <w:color w:val="000000" w:themeColor="text1"/>
        </w:rPr>
        <w:t>,</w:t>
      </w:r>
      <w:r w:rsidRPr="007A3E66">
        <w:rPr>
          <w:rFonts w:eastAsia="Times New Roman" w:cstheme="minorHAnsi"/>
          <w:color w:val="000000" w:themeColor="text1"/>
        </w:rPr>
        <w:t xml:space="preserve"> funding expectations</w:t>
      </w:r>
      <w:r w:rsidR="575ECB94" w:rsidRPr="007A3E66">
        <w:rPr>
          <w:rFonts w:eastAsia="Times New Roman" w:cstheme="minorHAnsi"/>
          <w:color w:val="000000" w:themeColor="text1"/>
        </w:rPr>
        <w:t>,</w:t>
      </w:r>
      <w:r w:rsidR="45D87B5A" w:rsidRPr="007A3E66">
        <w:rPr>
          <w:rFonts w:eastAsia="Times New Roman" w:cstheme="minorHAnsi"/>
          <w:color w:val="000000" w:themeColor="text1"/>
        </w:rPr>
        <w:t xml:space="preserve"> </w:t>
      </w:r>
      <w:r w:rsidR="575ECB94" w:rsidRPr="007A3E66">
        <w:rPr>
          <w:rFonts w:eastAsia="Times New Roman" w:cstheme="minorHAnsi"/>
          <w:color w:val="000000" w:themeColor="text1"/>
        </w:rPr>
        <w:t xml:space="preserve">licensure requirements, </w:t>
      </w:r>
      <w:r w:rsidR="45D87B5A" w:rsidRPr="007A3E66">
        <w:rPr>
          <w:rFonts w:eastAsia="Times New Roman" w:cstheme="minorHAnsi"/>
          <w:color w:val="000000" w:themeColor="text1"/>
        </w:rPr>
        <w:t xml:space="preserve">and other information as required by the University approved hiring software </w:t>
      </w:r>
      <w:r w:rsidR="12A7EE2D" w:rsidRPr="007A3E66">
        <w:rPr>
          <w:rFonts w:eastAsia="Times New Roman" w:cstheme="minorHAnsi"/>
          <w:color w:val="000000" w:themeColor="text1"/>
        </w:rPr>
        <w:t>system</w:t>
      </w:r>
      <w:r w:rsidR="6FC4C12E" w:rsidRPr="007A3E66">
        <w:rPr>
          <w:rFonts w:eastAsia="Times New Roman" w:cstheme="minorHAnsi"/>
          <w:color w:val="000000" w:themeColor="text1"/>
        </w:rPr>
        <w:t xml:space="preserve"> and the Medical Staff Office at the University of Toledo Medical Center </w:t>
      </w:r>
      <w:r w:rsidR="6BF11130" w:rsidRPr="007A3E66">
        <w:rPr>
          <w:rFonts w:eastAsia="Times New Roman" w:cstheme="minorHAnsi"/>
          <w:color w:val="000000" w:themeColor="text1"/>
        </w:rPr>
        <w:t xml:space="preserve">(UTMC) </w:t>
      </w:r>
      <w:r w:rsidR="6FC4C12E" w:rsidRPr="007A3E66">
        <w:rPr>
          <w:rFonts w:eastAsia="Times New Roman" w:cstheme="minorHAnsi"/>
          <w:color w:val="000000" w:themeColor="text1"/>
        </w:rPr>
        <w:t>if clinical privileges are required as part of the job description</w:t>
      </w:r>
      <w:r w:rsidR="12A7EE2D" w:rsidRPr="007A3E66">
        <w:rPr>
          <w:rFonts w:eastAsia="Times New Roman" w:cstheme="minorHAnsi"/>
          <w:color w:val="000000" w:themeColor="text1"/>
        </w:rPr>
        <w:t>.</w:t>
      </w:r>
      <w:r w:rsidRPr="007A3E66">
        <w:rPr>
          <w:rFonts w:eastAsia="Times New Roman" w:cstheme="minorHAnsi"/>
          <w:color w:val="000000" w:themeColor="text1"/>
        </w:rPr>
        <w:t xml:space="preserve"> </w:t>
      </w:r>
      <w:r w:rsidR="55464B61" w:rsidRPr="007A3E66">
        <w:rPr>
          <w:rFonts w:eastAsia="Times New Roman" w:cstheme="minorHAnsi"/>
          <w:color w:val="000000" w:themeColor="text1"/>
        </w:rPr>
        <w:t>The process to obtain medical staff privileges is listed in Section B.3</w:t>
      </w:r>
      <w:r w:rsidRPr="007A3E66">
        <w:rPr>
          <w:rFonts w:cstheme="minorHAnsi"/>
        </w:rPr>
        <w:br/>
      </w:r>
      <w:r w:rsidRPr="007A3E66">
        <w:rPr>
          <w:rFonts w:eastAsia="Calibri" w:cstheme="minorHAnsi"/>
          <w:color w:val="1F497D"/>
        </w:rPr>
        <w:t xml:space="preserve"> </w:t>
      </w:r>
    </w:p>
    <w:p w14:paraId="3CE836BB" w14:textId="72520094" w:rsidR="13760148" w:rsidRPr="007A3E66" w:rsidRDefault="0272DB95" w:rsidP="4857FB73">
      <w:pPr>
        <w:ind w:left="360"/>
        <w:rPr>
          <w:rFonts w:eastAsia="Times New Roman" w:cstheme="minorHAnsi"/>
          <w:color w:val="000000" w:themeColor="text1"/>
        </w:rPr>
      </w:pPr>
      <w:r w:rsidRPr="007A3E66">
        <w:rPr>
          <w:rFonts w:eastAsia="Times New Roman" w:cstheme="minorHAnsi"/>
          <w:color w:val="000000" w:themeColor="text1"/>
        </w:rPr>
        <w:t xml:space="preserve">3) </w:t>
      </w:r>
      <w:r w:rsidR="13760148" w:rsidRPr="007A3E66">
        <w:rPr>
          <w:rFonts w:eastAsia="Times New Roman" w:cstheme="minorHAnsi"/>
          <w:color w:val="000000" w:themeColor="text1"/>
        </w:rPr>
        <w:t>Upon authorization by the Dean, the letter of intent will be co-signed by the relevant department Chair and Dean and will be sent to the candidate.</w:t>
      </w:r>
      <w:r w:rsidR="25CAD7AF" w:rsidRPr="007A3E66">
        <w:rPr>
          <w:rFonts w:eastAsia="Times New Roman" w:cstheme="minorHAnsi"/>
          <w:color w:val="000000" w:themeColor="text1"/>
        </w:rPr>
        <w:t xml:space="preserve"> </w:t>
      </w:r>
      <w:r w:rsidR="13760148" w:rsidRPr="007A3E66">
        <w:rPr>
          <w:rFonts w:eastAsia="Times New Roman" w:cstheme="minorHAnsi"/>
          <w:color w:val="000000" w:themeColor="text1"/>
        </w:rPr>
        <w:t xml:space="preserve">Copies of the </w:t>
      </w:r>
      <w:r w:rsidR="181FC37C" w:rsidRPr="007A3E66">
        <w:rPr>
          <w:rFonts w:eastAsia="Times New Roman" w:cstheme="minorHAnsi"/>
          <w:color w:val="000000" w:themeColor="text1"/>
        </w:rPr>
        <w:t xml:space="preserve">signed </w:t>
      </w:r>
      <w:r w:rsidR="13760148" w:rsidRPr="007A3E66">
        <w:rPr>
          <w:rFonts w:eastAsia="Times New Roman" w:cstheme="minorHAnsi"/>
          <w:color w:val="000000" w:themeColor="text1"/>
        </w:rPr>
        <w:t xml:space="preserve">letter of intent </w:t>
      </w:r>
      <w:r w:rsidR="0C122CAB" w:rsidRPr="007A3E66">
        <w:rPr>
          <w:rFonts w:eastAsia="Times New Roman" w:cstheme="minorHAnsi"/>
          <w:color w:val="000000" w:themeColor="text1"/>
        </w:rPr>
        <w:t>must</w:t>
      </w:r>
      <w:r w:rsidR="13760148" w:rsidRPr="007A3E66">
        <w:rPr>
          <w:rFonts w:eastAsia="Times New Roman" w:cstheme="minorHAnsi"/>
          <w:color w:val="000000" w:themeColor="text1"/>
        </w:rPr>
        <w:t xml:space="preserve"> be provided to the Office of Faculty Affairs, the Medical Staff Office and The University of Toledo Physicians (UTP)</w:t>
      </w:r>
      <w:r w:rsidR="6455D659" w:rsidRPr="007A3E66">
        <w:rPr>
          <w:rFonts w:eastAsia="Times New Roman" w:cstheme="minorHAnsi"/>
          <w:color w:val="000000" w:themeColor="text1"/>
        </w:rPr>
        <w:t xml:space="preserve"> for clinical staff who </w:t>
      </w:r>
      <w:r w:rsidR="74EB9BAB" w:rsidRPr="007A3E66">
        <w:rPr>
          <w:rFonts w:eastAsia="Times New Roman" w:cstheme="minorHAnsi"/>
          <w:color w:val="000000" w:themeColor="text1"/>
        </w:rPr>
        <w:t>require</w:t>
      </w:r>
      <w:r w:rsidR="6455D659" w:rsidRPr="007A3E66">
        <w:rPr>
          <w:rFonts w:eastAsia="Times New Roman" w:cstheme="minorHAnsi"/>
          <w:color w:val="000000" w:themeColor="text1"/>
        </w:rPr>
        <w:t xml:space="preserve"> medical staff privileges at UTMC as a condition of employment</w:t>
      </w:r>
      <w:r w:rsidR="13760148" w:rsidRPr="007A3E66">
        <w:rPr>
          <w:rFonts w:eastAsia="Times New Roman" w:cstheme="minorHAnsi"/>
          <w:color w:val="000000" w:themeColor="text1"/>
        </w:rPr>
        <w:t>. All letters of intent shall state explicitly that</w:t>
      </w:r>
      <w:r w:rsidR="291B01BE" w:rsidRPr="007A3E66">
        <w:rPr>
          <w:rFonts w:eastAsia="Times New Roman" w:cstheme="minorHAnsi"/>
          <w:color w:val="000000" w:themeColor="text1"/>
        </w:rPr>
        <w:t xml:space="preserve"> </w:t>
      </w:r>
      <w:r w:rsidR="17F20DCB" w:rsidRPr="007A3E66">
        <w:rPr>
          <w:rFonts w:eastAsia="Times New Roman" w:cstheme="minorHAnsi"/>
          <w:color w:val="000000" w:themeColor="text1"/>
        </w:rPr>
        <w:t xml:space="preserve">as per University of Toledo COMLS Faculty Rules and Regulations, all </w:t>
      </w:r>
      <w:r w:rsidR="291B01BE" w:rsidRPr="007A3E66">
        <w:rPr>
          <w:rFonts w:eastAsia="Times New Roman" w:cstheme="minorHAnsi"/>
          <w:color w:val="000000" w:themeColor="text1"/>
        </w:rPr>
        <w:t>faculty appointments at the rank of Associate Professor or Professor</w:t>
      </w:r>
      <w:r w:rsidR="6976D90B" w:rsidRPr="007A3E66">
        <w:rPr>
          <w:rFonts w:eastAsia="Times New Roman" w:cstheme="minorHAnsi"/>
          <w:color w:val="000000" w:themeColor="text1"/>
        </w:rPr>
        <w:t xml:space="preserve"> are tentative pending </w:t>
      </w:r>
      <w:r w:rsidR="291B01BE" w:rsidRPr="007A3E66">
        <w:rPr>
          <w:rFonts w:eastAsia="Times New Roman" w:cstheme="minorHAnsi"/>
          <w:color w:val="000000" w:themeColor="text1"/>
        </w:rPr>
        <w:t>review by the College of Medicine’s Appointment, Promotion and Tenure (APT) Committee</w:t>
      </w:r>
      <w:r w:rsidR="00EF0B0A" w:rsidRPr="007A3E66">
        <w:rPr>
          <w:rFonts w:eastAsia="Times New Roman" w:cstheme="minorHAnsi"/>
          <w:color w:val="000000" w:themeColor="text1"/>
        </w:rPr>
        <w:t>.</w:t>
      </w:r>
      <w:r w:rsidR="13760148" w:rsidRPr="007A3E66">
        <w:rPr>
          <w:rFonts w:eastAsia="Times New Roman" w:cstheme="minorHAnsi"/>
          <w:color w:val="000000" w:themeColor="text1"/>
        </w:rPr>
        <w:t xml:space="preserve"> </w:t>
      </w:r>
      <w:r w:rsidR="4AB5178D" w:rsidRPr="007A3E66">
        <w:rPr>
          <w:rFonts w:eastAsia="Times New Roman" w:cstheme="minorHAnsi"/>
          <w:color w:val="000000" w:themeColor="text1"/>
        </w:rPr>
        <w:t>In addition,</w:t>
      </w:r>
      <w:r w:rsidR="70818AFB" w:rsidRPr="007A3E66">
        <w:rPr>
          <w:rFonts w:eastAsia="Times New Roman" w:cstheme="minorHAnsi"/>
          <w:color w:val="000000" w:themeColor="text1"/>
        </w:rPr>
        <w:t xml:space="preserve"> </w:t>
      </w:r>
      <w:r w:rsidR="13760148" w:rsidRPr="007A3E66">
        <w:rPr>
          <w:rFonts w:eastAsia="Times New Roman" w:cstheme="minorHAnsi"/>
          <w:color w:val="000000" w:themeColor="text1"/>
        </w:rPr>
        <w:t>ap</w:t>
      </w:r>
      <w:r w:rsidR="13760148" w:rsidRPr="007A3E66">
        <w:rPr>
          <w:rFonts w:eastAsiaTheme="minorEastAsia" w:cstheme="minorHAnsi"/>
          <w:color w:val="000000" w:themeColor="text1"/>
        </w:rPr>
        <w:t>p</w:t>
      </w:r>
      <w:r w:rsidR="13760148" w:rsidRPr="007A3E66">
        <w:rPr>
          <w:rFonts w:eastAsia="Times New Roman" w:cstheme="minorHAnsi"/>
          <w:color w:val="000000" w:themeColor="text1"/>
        </w:rPr>
        <w:t xml:space="preserve">ointment to the </w:t>
      </w:r>
      <w:r w:rsidR="44113D2E" w:rsidRPr="007A3E66">
        <w:rPr>
          <w:rFonts w:eastAsia="Times New Roman" w:cstheme="minorHAnsi"/>
          <w:color w:val="000000" w:themeColor="text1"/>
        </w:rPr>
        <w:t xml:space="preserve">clinical </w:t>
      </w:r>
      <w:r w:rsidR="13760148" w:rsidRPr="007A3E66">
        <w:rPr>
          <w:rFonts w:eastAsia="Times New Roman" w:cstheme="minorHAnsi"/>
          <w:color w:val="000000" w:themeColor="text1"/>
        </w:rPr>
        <w:t>faculty is subject to and contingent upon the following:</w:t>
      </w:r>
    </w:p>
    <w:p w14:paraId="4565BF73" w14:textId="5F506EDF" w:rsidR="13760148" w:rsidRPr="007A3E66" w:rsidRDefault="24230047" w:rsidP="4857FB73">
      <w:pPr>
        <w:ind w:left="1080"/>
        <w:rPr>
          <w:rFonts w:cstheme="minorHAnsi"/>
          <w:color w:val="000000" w:themeColor="text1"/>
        </w:rPr>
      </w:pPr>
      <w:r w:rsidRPr="007A3E66">
        <w:rPr>
          <w:rFonts w:eastAsia="Calibri" w:cstheme="minorHAnsi"/>
          <w:color w:val="000000" w:themeColor="text1"/>
        </w:rPr>
        <w:t xml:space="preserve">A) </w:t>
      </w:r>
      <w:r w:rsidR="13760148" w:rsidRPr="007A3E66">
        <w:rPr>
          <w:rFonts w:eastAsia="Calibri" w:cstheme="minorHAnsi"/>
          <w:color w:val="000000" w:themeColor="text1"/>
        </w:rPr>
        <w:t xml:space="preserve">Possession of a full and unrestricted license to practice in the state of Ohio; </w:t>
      </w:r>
    </w:p>
    <w:p w14:paraId="0A40B668" w14:textId="3AAA2423" w:rsidR="13760148" w:rsidRPr="007A3E66" w:rsidRDefault="65F8420F" w:rsidP="4857FB73">
      <w:pPr>
        <w:ind w:left="1080"/>
        <w:rPr>
          <w:rFonts w:cstheme="minorHAnsi"/>
          <w:color w:val="000000" w:themeColor="text1"/>
        </w:rPr>
      </w:pPr>
      <w:r w:rsidRPr="007A3E66">
        <w:rPr>
          <w:rFonts w:eastAsia="Calibri" w:cstheme="minorHAnsi"/>
          <w:color w:val="000000" w:themeColor="text1"/>
        </w:rPr>
        <w:t xml:space="preserve">B) </w:t>
      </w:r>
      <w:r w:rsidR="13760148" w:rsidRPr="007A3E66">
        <w:rPr>
          <w:rFonts w:eastAsia="Calibri" w:cstheme="minorHAnsi"/>
          <w:color w:val="000000" w:themeColor="text1"/>
        </w:rPr>
        <w:t xml:space="preserve">Possession of an unrestricted Drug Enforcement Administration certificate; </w:t>
      </w:r>
    </w:p>
    <w:p w14:paraId="266443D1" w14:textId="3D6ACAE9" w:rsidR="13760148" w:rsidRPr="007A3E66" w:rsidRDefault="1A3E7FFD" w:rsidP="4857FB73">
      <w:pPr>
        <w:pStyle w:val="ListParagraph"/>
        <w:numPr>
          <w:ilvl w:val="1"/>
          <w:numId w:val="2"/>
        </w:numPr>
        <w:rPr>
          <w:rFonts w:cstheme="minorHAnsi"/>
          <w:color w:val="000000" w:themeColor="text1"/>
        </w:rPr>
      </w:pPr>
      <w:r w:rsidRPr="007A3E66">
        <w:rPr>
          <w:rFonts w:eastAsia="Calibri" w:cstheme="minorHAnsi"/>
          <w:color w:val="000000" w:themeColor="text1"/>
        </w:rPr>
        <w:t>Maintenance of m</w:t>
      </w:r>
      <w:r w:rsidR="13760148" w:rsidRPr="007A3E66">
        <w:rPr>
          <w:rFonts w:eastAsia="Calibri" w:cstheme="minorHAnsi"/>
          <w:color w:val="000000" w:themeColor="text1"/>
        </w:rPr>
        <w:t xml:space="preserve">embership in good standing on the Medical Staff of the University of Toledo Medical Center; </w:t>
      </w:r>
    </w:p>
    <w:p w14:paraId="020C72B3" w14:textId="31D2DA44" w:rsidR="13760148" w:rsidRPr="007A3E66" w:rsidRDefault="13760148" w:rsidP="4857FB73">
      <w:pPr>
        <w:pStyle w:val="ListParagraph"/>
        <w:numPr>
          <w:ilvl w:val="1"/>
          <w:numId w:val="2"/>
        </w:numPr>
        <w:rPr>
          <w:rFonts w:cstheme="minorHAnsi"/>
          <w:color w:val="000000" w:themeColor="text1"/>
        </w:rPr>
      </w:pPr>
      <w:r w:rsidRPr="007A3E66">
        <w:rPr>
          <w:rFonts w:eastAsia="Calibri" w:cstheme="minorHAnsi"/>
          <w:color w:val="000000" w:themeColor="text1"/>
        </w:rPr>
        <w:t xml:space="preserve">Professional liability insurance; </w:t>
      </w:r>
    </w:p>
    <w:p w14:paraId="78A12EFD" w14:textId="1D3D1C1C" w:rsidR="13760148" w:rsidRPr="007A3E66" w:rsidRDefault="13760148" w:rsidP="4857FB73">
      <w:pPr>
        <w:pStyle w:val="ListParagraph"/>
        <w:numPr>
          <w:ilvl w:val="1"/>
          <w:numId w:val="2"/>
        </w:numPr>
        <w:rPr>
          <w:rFonts w:cstheme="minorHAnsi"/>
          <w:color w:val="000000" w:themeColor="text1"/>
        </w:rPr>
      </w:pPr>
      <w:r w:rsidRPr="007A3E66">
        <w:rPr>
          <w:rFonts w:eastAsia="Calibri" w:cstheme="minorHAnsi"/>
          <w:color w:val="000000" w:themeColor="text1"/>
        </w:rPr>
        <w:t xml:space="preserve">Eligibility as a certified provider in the Medicare, Medicaid and other federal and state health care programs; and </w:t>
      </w:r>
    </w:p>
    <w:p w14:paraId="093CB213" w14:textId="1045958D" w:rsidR="13760148" w:rsidRPr="007A3E66" w:rsidRDefault="13760148" w:rsidP="4857FB73">
      <w:pPr>
        <w:pStyle w:val="ListParagraph"/>
        <w:numPr>
          <w:ilvl w:val="1"/>
          <w:numId w:val="2"/>
        </w:numPr>
        <w:rPr>
          <w:rFonts w:cstheme="minorHAnsi"/>
          <w:color w:val="000000" w:themeColor="text1"/>
        </w:rPr>
      </w:pPr>
      <w:r w:rsidRPr="007A3E66">
        <w:rPr>
          <w:rFonts w:eastAsia="Calibri" w:cstheme="minorHAnsi"/>
          <w:color w:val="000000" w:themeColor="text1"/>
        </w:rPr>
        <w:t xml:space="preserve">Acceptable outcome for background check and drug testing </w:t>
      </w:r>
    </w:p>
    <w:p w14:paraId="26108303" w14:textId="1DC8B14D" w:rsidR="13760148" w:rsidRPr="007A3E66" w:rsidRDefault="13760148" w:rsidP="4857FB73">
      <w:pPr>
        <w:pStyle w:val="ListParagraph"/>
        <w:numPr>
          <w:ilvl w:val="1"/>
          <w:numId w:val="2"/>
        </w:numPr>
        <w:rPr>
          <w:rFonts w:cstheme="minorHAnsi"/>
          <w:color w:val="000000" w:themeColor="text1"/>
        </w:rPr>
      </w:pPr>
      <w:r w:rsidRPr="007A3E66">
        <w:rPr>
          <w:rFonts w:eastAsia="Calibri" w:cstheme="minorHAnsi"/>
          <w:color w:val="000000" w:themeColor="text1"/>
        </w:rPr>
        <w:t>Final Approval by the University of Toledo Board of Trustees.</w:t>
      </w:r>
    </w:p>
    <w:p w14:paraId="4CB1DF00" w14:textId="771CA856" w:rsidR="13760148" w:rsidRPr="007A3E66" w:rsidRDefault="13760148">
      <w:pPr>
        <w:rPr>
          <w:rFonts w:cstheme="minorHAnsi"/>
        </w:rPr>
      </w:pPr>
      <w:r w:rsidRPr="007A3E66">
        <w:rPr>
          <w:rFonts w:eastAsia="Times New Roman" w:cstheme="minorHAnsi"/>
        </w:rPr>
        <w:t xml:space="preserve">  </w:t>
      </w:r>
    </w:p>
    <w:p w14:paraId="32F3DFE4" w14:textId="1EFDC3C5" w:rsidR="13760148" w:rsidRPr="007A3E66" w:rsidRDefault="166AEDEA" w:rsidP="4857FB73">
      <w:pPr>
        <w:ind w:left="360"/>
        <w:rPr>
          <w:rFonts w:cstheme="minorHAnsi"/>
          <w:color w:val="000000" w:themeColor="text1"/>
        </w:rPr>
      </w:pPr>
      <w:r w:rsidRPr="007A3E66">
        <w:rPr>
          <w:rFonts w:eastAsia="Calibri" w:cstheme="minorHAnsi"/>
          <w:color w:val="000000" w:themeColor="text1"/>
        </w:rPr>
        <w:lastRenderedPageBreak/>
        <w:t xml:space="preserve">4) </w:t>
      </w:r>
      <w:r w:rsidR="13760148" w:rsidRPr="007A3E66">
        <w:rPr>
          <w:rFonts w:eastAsia="Calibri" w:cstheme="minorHAnsi"/>
          <w:color w:val="000000" w:themeColor="text1"/>
        </w:rPr>
        <w:t>The process required to obtain membership in good standing on the Medical Staff of the University of Toledo Medical Center is as follows:</w:t>
      </w:r>
    </w:p>
    <w:p w14:paraId="03663B82" w14:textId="48B293C6" w:rsidR="13760148" w:rsidRPr="007A3E66" w:rsidRDefault="64E18A1E" w:rsidP="4857FB73">
      <w:pPr>
        <w:ind w:left="1080"/>
        <w:rPr>
          <w:rFonts w:eastAsia="Times New Roman" w:cstheme="minorHAnsi"/>
          <w:color w:val="000000" w:themeColor="text1"/>
        </w:rPr>
      </w:pPr>
      <w:r w:rsidRPr="007A3E66">
        <w:rPr>
          <w:rFonts w:eastAsia="Times New Roman" w:cstheme="minorHAnsi"/>
          <w:color w:val="000000" w:themeColor="text1"/>
        </w:rPr>
        <w:t xml:space="preserve">A) </w:t>
      </w:r>
      <w:r w:rsidR="16584AF7" w:rsidRPr="007A3E66">
        <w:rPr>
          <w:rFonts w:eastAsia="Times New Roman" w:cstheme="minorHAnsi"/>
          <w:color w:val="000000" w:themeColor="text1"/>
        </w:rPr>
        <w:t>Upon receipt of the signed letter of intent, t</w:t>
      </w:r>
      <w:r w:rsidR="13760148" w:rsidRPr="007A3E66">
        <w:rPr>
          <w:rFonts w:eastAsia="Times New Roman" w:cstheme="minorHAnsi"/>
          <w:color w:val="000000" w:themeColor="text1"/>
        </w:rPr>
        <w:t xml:space="preserve">he Medical Staff Office will send to prospective faculty members the Application for Appointment if not previously provided. Upon receipt of the completed application, the Medical Staff Office will provide UTP a copy of the application and required submittals for employment process verification and provider enrollment. </w:t>
      </w:r>
    </w:p>
    <w:p w14:paraId="7DC4F615" w14:textId="2E668AC5" w:rsidR="13760148" w:rsidRPr="007A3E66" w:rsidRDefault="13760148">
      <w:pPr>
        <w:rPr>
          <w:rFonts w:cstheme="minorHAnsi"/>
        </w:rPr>
      </w:pPr>
      <w:r w:rsidRPr="007A3E66">
        <w:rPr>
          <w:rFonts w:eastAsia="Times New Roman" w:cstheme="minorHAnsi"/>
        </w:rPr>
        <w:t xml:space="preserve"> </w:t>
      </w:r>
    </w:p>
    <w:p w14:paraId="46C53DCD" w14:textId="0E711738" w:rsidR="13760148" w:rsidRPr="007A3E66" w:rsidRDefault="1D4B2E67" w:rsidP="4857FB73">
      <w:pPr>
        <w:ind w:left="1080"/>
        <w:rPr>
          <w:rFonts w:cstheme="minorHAnsi"/>
          <w:color w:val="000000" w:themeColor="text1"/>
        </w:rPr>
      </w:pPr>
      <w:r w:rsidRPr="007A3E66">
        <w:rPr>
          <w:rFonts w:eastAsia="Calibri" w:cstheme="minorHAnsi"/>
          <w:color w:val="000000" w:themeColor="text1"/>
        </w:rPr>
        <w:t xml:space="preserve">B) </w:t>
      </w:r>
      <w:r w:rsidR="13760148" w:rsidRPr="007A3E66">
        <w:rPr>
          <w:rFonts w:eastAsia="Calibri" w:cstheme="minorHAnsi"/>
          <w:color w:val="000000" w:themeColor="text1"/>
        </w:rPr>
        <w:t>The review of applications for medical staff privileges is extensive and includes, but is not limited to, primary source verification of education and training, and reviews by the Credentialing and Medical Executive Committees of the Medical Staff. Medical Staff privileges are only conferred after review and approval by the Clinical Care Committee of the Board of Trustees of the University of Toledo.</w:t>
      </w:r>
    </w:p>
    <w:p w14:paraId="7F9E9E37" w14:textId="6B445B49" w:rsidR="13760148" w:rsidRPr="007A3E66" w:rsidRDefault="13760148">
      <w:pPr>
        <w:rPr>
          <w:rFonts w:cstheme="minorHAnsi"/>
        </w:rPr>
      </w:pPr>
      <w:r w:rsidRPr="007A3E66">
        <w:rPr>
          <w:rFonts w:eastAsia="Times New Roman" w:cstheme="minorHAnsi"/>
        </w:rPr>
        <w:t xml:space="preserve"> </w:t>
      </w:r>
    </w:p>
    <w:p w14:paraId="42B3CA8A" w14:textId="0099707C" w:rsidR="13760148" w:rsidRPr="007A3E66" w:rsidRDefault="51677497" w:rsidP="4857FB73">
      <w:pPr>
        <w:ind w:left="1080"/>
        <w:rPr>
          <w:rFonts w:cstheme="minorHAnsi"/>
          <w:color w:val="000000" w:themeColor="text1"/>
        </w:rPr>
      </w:pPr>
      <w:r w:rsidRPr="007A3E66">
        <w:rPr>
          <w:rFonts w:eastAsia="Calibri" w:cstheme="minorHAnsi"/>
          <w:color w:val="000000" w:themeColor="text1"/>
        </w:rPr>
        <w:t xml:space="preserve">C) </w:t>
      </w:r>
      <w:r w:rsidR="13760148" w:rsidRPr="007A3E66">
        <w:rPr>
          <w:rFonts w:eastAsia="Calibri" w:cstheme="minorHAnsi"/>
          <w:color w:val="000000" w:themeColor="text1"/>
        </w:rPr>
        <w:t xml:space="preserve">The Credentialing Committee of the Medical Staff will make its recommendation, which includes coverage in the UT professional liability insurance programs, to the Medical Executive Committee </w:t>
      </w:r>
    </w:p>
    <w:p w14:paraId="5F028E05" w14:textId="0F429C9E" w:rsidR="13760148" w:rsidRPr="007A3E66" w:rsidRDefault="13760148">
      <w:pPr>
        <w:rPr>
          <w:rFonts w:cstheme="minorHAnsi"/>
        </w:rPr>
      </w:pPr>
      <w:r w:rsidRPr="007A3E66">
        <w:rPr>
          <w:rFonts w:eastAsia="Times New Roman" w:cstheme="minorHAnsi"/>
        </w:rPr>
        <w:t xml:space="preserve"> </w:t>
      </w:r>
    </w:p>
    <w:p w14:paraId="6B83F1C6" w14:textId="6140E56B" w:rsidR="13760148" w:rsidRPr="007A3E66" w:rsidRDefault="06042CCF" w:rsidP="4857FB73">
      <w:pPr>
        <w:ind w:left="1080"/>
        <w:rPr>
          <w:rFonts w:cstheme="minorHAnsi"/>
          <w:color w:val="000000" w:themeColor="text1"/>
        </w:rPr>
      </w:pPr>
      <w:r w:rsidRPr="007A3E66">
        <w:rPr>
          <w:rFonts w:eastAsia="Calibri" w:cstheme="minorHAnsi"/>
          <w:color w:val="000000" w:themeColor="text1"/>
        </w:rPr>
        <w:t xml:space="preserve">D) </w:t>
      </w:r>
      <w:r w:rsidR="13760148" w:rsidRPr="007A3E66">
        <w:rPr>
          <w:rFonts w:eastAsia="Calibri" w:cstheme="minorHAnsi"/>
          <w:color w:val="000000" w:themeColor="text1"/>
        </w:rPr>
        <w:t xml:space="preserve">The review and approval processes for Medical Staff credentialing </w:t>
      </w:r>
      <w:proofErr w:type="gramStart"/>
      <w:r w:rsidR="13760148" w:rsidRPr="007A3E66">
        <w:rPr>
          <w:rFonts w:eastAsia="Calibri" w:cstheme="minorHAnsi"/>
          <w:color w:val="000000" w:themeColor="text1"/>
        </w:rPr>
        <w:t>and  underwriting</w:t>
      </w:r>
      <w:proofErr w:type="gramEnd"/>
      <w:r w:rsidR="13760148" w:rsidRPr="007A3E66">
        <w:rPr>
          <w:rFonts w:eastAsia="Calibri" w:cstheme="minorHAnsi"/>
          <w:color w:val="000000" w:themeColor="text1"/>
        </w:rPr>
        <w:t xml:space="preserve"> require minimally 60 days, and may in some instances require 180 days.  Provider enrollment, necessary to bill and collect from commercial insurance providers, will also require three to six months.</w:t>
      </w:r>
    </w:p>
    <w:p w14:paraId="5C25C7A0" w14:textId="62B2C873" w:rsidR="13760148" w:rsidRPr="007A3E66" w:rsidRDefault="13760148" w:rsidP="00770043">
      <w:pPr>
        <w:rPr>
          <w:rFonts w:cstheme="minorHAnsi"/>
          <w:color w:val="000000" w:themeColor="text1"/>
        </w:rPr>
      </w:pPr>
      <w:r w:rsidRPr="007A3E66">
        <w:rPr>
          <w:rFonts w:eastAsia="Times New Roman" w:cstheme="minorHAnsi"/>
        </w:rPr>
        <w:t xml:space="preserve"> </w:t>
      </w:r>
      <w:r w:rsidR="08DF95F3" w:rsidRPr="007A3E66">
        <w:rPr>
          <w:rFonts w:eastAsia="Calibri" w:cstheme="minorHAnsi"/>
          <w:color w:val="000000" w:themeColor="text1"/>
        </w:rPr>
        <w:t xml:space="preserve">5) </w:t>
      </w:r>
      <w:r w:rsidRPr="007A3E66">
        <w:rPr>
          <w:rFonts w:eastAsia="Calibri" w:cstheme="minorHAnsi"/>
          <w:color w:val="000000" w:themeColor="text1"/>
        </w:rPr>
        <w:t xml:space="preserve">Faculty appointments at the rank of Associate Professor or Professor must be reviewed by the College of Medicine’s Appointment, Promotion and Tenure (APT) Committee.  Departments will coordinate submission of the candidate’s application with the Office of Faculty Affairs and Development. The development of the application and subsequent review by the APT Committee may take up to 90 days. </w:t>
      </w:r>
      <w:r w:rsidRPr="007A3E66">
        <w:rPr>
          <w:rFonts w:cstheme="minorHAnsi"/>
        </w:rPr>
        <w:br/>
      </w:r>
      <w:r w:rsidRPr="007A3E66">
        <w:rPr>
          <w:rFonts w:cstheme="minorHAnsi"/>
        </w:rPr>
        <w:lastRenderedPageBreak/>
        <w:br/>
      </w:r>
      <w:r w:rsidRPr="007A3E66">
        <w:rPr>
          <w:rFonts w:eastAsia="Calibri" w:cstheme="minorHAnsi"/>
          <w:color w:val="000000" w:themeColor="text1"/>
        </w:rPr>
        <w:t xml:space="preserve"> </w:t>
      </w:r>
      <w:r w:rsidR="2F65539D" w:rsidRPr="007A3E66">
        <w:rPr>
          <w:rFonts w:eastAsia="Calibri" w:cstheme="minorHAnsi"/>
          <w:color w:val="000000" w:themeColor="text1"/>
        </w:rPr>
        <w:t xml:space="preserve">6) </w:t>
      </w:r>
      <w:r w:rsidRPr="007A3E66">
        <w:rPr>
          <w:rFonts w:eastAsia="Calibri" w:cstheme="minorHAnsi"/>
          <w:color w:val="000000" w:themeColor="text1"/>
        </w:rPr>
        <w:t xml:space="preserve">Following signed acceptance of the letter of intent and prior to employment, the department will plan and coordinate all necessary activities to promote the candidate’s successful transition to The University of Toledo and successful fulfillment of educational, clinical, research and administrative responsibilities. The plan should include, but may not be limited to, the following: </w:t>
      </w:r>
    </w:p>
    <w:p w14:paraId="12605438" w14:textId="4DA404D6" w:rsidR="13760148" w:rsidRPr="007A3E66" w:rsidRDefault="13760148" w:rsidP="48798B2D">
      <w:pPr>
        <w:pStyle w:val="ListParagraph"/>
        <w:numPr>
          <w:ilvl w:val="0"/>
          <w:numId w:val="1"/>
        </w:numPr>
        <w:rPr>
          <w:rFonts w:cstheme="minorHAnsi"/>
          <w:color w:val="000000" w:themeColor="text1"/>
        </w:rPr>
      </w:pPr>
      <w:r w:rsidRPr="007A3E66">
        <w:rPr>
          <w:rFonts w:eastAsia="Calibri" w:cstheme="minorHAnsi"/>
          <w:color w:val="000000" w:themeColor="text1"/>
        </w:rPr>
        <w:t xml:space="preserve">Finalization of office, clinical and research space; </w:t>
      </w:r>
    </w:p>
    <w:p w14:paraId="33E20EF9" w14:textId="6585C121" w:rsidR="13760148" w:rsidRPr="007A3E66" w:rsidRDefault="13760148" w:rsidP="48798B2D">
      <w:pPr>
        <w:pStyle w:val="ListParagraph"/>
        <w:numPr>
          <w:ilvl w:val="0"/>
          <w:numId w:val="1"/>
        </w:numPr>
        <w:rPr>
          <w:rFonts w:cstheme="minorHAnsi"/>
          <w:color w:val="000000" w:themeColor="text1"/>
        </w:rPr>
      </w:pPr>
      <w:r w:rsidRPr="007A3E66">
        <w:rPr>
          <w:rFonts w:eastAsia="Times New Roman" w:cstheme="minorHAnsi"/>
          <w:color w:val="000000" w:themeColor="text1"/>
        </w:rPr>
        <w:t xml:space="preserve">Procurement of office, clinical and research supplies and equipment; </w:t>
      </w:r>
    </w:p>
    <w:p w14:paraId="3BBC8D8D" w14:textId="745EC21E" w:rsidR="13760148" w:rsidRPr="007A3E66" w:rsidRDefault="13760148" w:rsidP="48798B2D">
      <w:pPr>
        <w:pStyle w:val="ListParagraph"/>
        <w:numPr>
          <w:ilvl w:val="0"/>
          <w:numId w:val="1"/>
        </w:numPr>
        <w:rPr>
          <w:rFonts w:cstheme="minorHAnsi"/>
          <w:color w:val="000000" w:themeColor="text1"/>
        </w:rPr>
      </w:pPr>
      <w:r w:rsidRPr="007A3E66">
        <w:rPr>
          <w:rFonts w:eastAsia="Times New Roman" w:cstheme="minorHAnsi"/>
          <w:color w:val="000000" w:themeColor="text1"/>
        </w:rPr>
        <w:t xml:space="preserve">Development of plans in cooperation with the Office of Communications to advertise and market the clinical services of the candidate; </w:t>
      </w:r>
    </w:p>
    <w:p w14:paraId="6299C363" w14:textId="085B0C2B" w:rsidR="13760148" w:rsidRPr="007A3E66" w:rsidRDefault="13760148" w:rsidP="48798B2D">
      <w:pPr>
        <w:pStyle w:val="ListParagraph"/>
        <w:numPr>
          <w:ilvl w:val="0"/>
          <w:numId w:val="1"/>
        </w:numPr>
        <w:rPr>
          <w:rFonts w:cstheme="minorHAnsi"/>
          <w:color w:val="000000" w:themeColor="text1"/>
        </w:rPr>
      </w:pPr>
      <w:r w:rsidRPr="007A3E66">
        <w:rPr>
          <w:rFonts w:eastAsia="Times New Roman" w:cstheme="minorHAnsi"/>
          <w:color w:val="000000" w:themeColor="text1"/>
        </w:rPr>
        <w:t xml:space="preserve">Development of professional billing forms with UTP; </w:t>
      </w:r>
    </w:p>
    <w:p w14:paraId="61AFAD83" w14:textId="183BEB07" w:rsidR="13760148" w:rsidRPr="007A3E66" w:rsidRDefault="13760148" w:rsidP="48798B2D">
      <w:pPr>
        <w:pStyle w:val="ListParagraph"/>
        <w:numPr>
          <w:ilvl w:val="0"/>
          <w:numId w:val="1"/>
        </w:numPr>
        <w:rPr>
          <w:rFonts w:cstheme="minorHAnsi"/>
          <w:color w:val="000000" w:themeColor="text1"/>
        </w:rPr>
      </w:pPr>
      <w:r w:rsidRPr="007A3E66">
        <w:rPr>
          <w:rFonts w:eastAsia="Times New Roman" w:cstheme="minorHAnsi"/>
          <w:color w:val="000000" w:themeColor="text1"/>
        </w:rPr>
        <w:t xml:space="preserve">Orientation and onboarding to the department, College, University and community. </w:t>
      </w:r>
    </w:p>
    <w:p w14:paraId="120EA03E" w14:textId="7E37EF9B" w:rsidR="48798B2D" w:rsidRPr="007A3E66" w:rsidRDefault="48798B2D" w:rsidP="4857FB73">
      <w:pPr>
        <w:rPr>
          <w:rFonts w:cstheme="minorHAnsi"/>
        </w:rPr>
      </w:pPr>
    </w:p>
    <w:p w14:paraId="5E181BC9" w14:textId="702D0EE3" w:rsidR="00E15A6E" w:rsidRPr="007A3E66" w:rsidRDefault="00E83DCF" w:rsidP="00055BF9">
      <w:pPr>
        <w:rPr>
          <w:rFonts w:cstheme="minorHAnsi"/>
        </w:rPr>
      </w:pPr>
      <w:r w:rsidRPr="007A3E66">
        <w:rPr>
          <w:rFonts w:cstheme="minorHAnsi"/>
        </w:rPr>
        <w:t>7</w:t>
      </w:r>
      <w:r w:rsidR="0059563C" w:rsidRPr="007A3E66">
        <w:rPr>
          <w:rFonts w:cstheme="minorHAnsi"/>
        </w:rPr>
        <w:t xml:space="preserve">) </w:t>
      </w:r>
      <w:r w:rsidR="00E15A6E" w:rsidRPr="007A3E66">
        <w:rPr>
          <w:rFonts w:cstheme="minorHAnsi"/>
        </w:rPr>
        <w:t>Pro</w:t>
      </w:r>
      <w:r w:rsidR="0059563C" w:rsidRPr="007A3E66">
        <w:rPr>
          <w:rFonts w:cstheme="minorHAnsi"/>
        </w:rPr>
        <w:t>cedure</w:t>
      </w:r>
      <w:r w:rsidR="00E15A6E" w:rsidRPr="007A3E66">
        <w:rPr>
          <w:rFonts w:cstheme="minorHAnsi"/>
        </w:rPr>
        <w:t xml:space="preserve"> for Obtaining Authorization for a Search Waiver:</w:t>
      </w:r>
    </w:p>
    <w:p w14:paraId="77F6CD3E" w14:textId="7C1AA458" w:rsidR="5F90F177" w:rsidRPr="007A3E66" w:rsidRDefault="5F90F177" w:rsidP="4857FB73">
      <w:pPr>
        <w:rPr>
          <w:rFonts w:cstheme="minorHAnsi"/>
        </w:rPr>
      </w:pPr>
      <w:r w:rsidRPr="007A3E66">
        <w:rPr>
          <w:rFonts w:cstheme="minorHAnsi"/>
        </w:rPr>
        <w:t>In cases where emergency faculty hires are required, (i.e., when there is not sufficient time to complete the required procedures) or in exceptional circumstances where time, cost or other administrative considerations justifies abridging the search, an authorized search waiver must be obt</w:t>
      </w:r>
      <w:r w:rsidR="7BABDD42" w:rsidRPr="007A3E66">
        <w:rPr>
          <w:rFonts w:cstheme="minorHAnsi"/>
        </w:rPr>
        <w:t xml:space="preserve">ained </w:t>
      </w:r>
      <w:hyperlink r:id="rId8">
        <w:r w:rsidR="3B8FD7CA" w:rsidRPr="007A3E66">
          <w:rPr>
            <w:rStyle w:val="Hyperlink"/>
            <w:rFonts w:eastAsia="Calibri" w:cstheme="minorHAnsi"/>
          </w:rPr>
          <w:t>http://www.utoledo.edu/offices/provost/docs/Fillable%20Search%20Waiver%20Request%20Form.pdf</w:t>
        </w:r>
      </w:hyperlink>
      <w:r w:rsidR="3B8FD7CA" w:rsidRPr="007A3E66">
        <w:rPr>
          <w:rFonts w:eastAsia="Calibri" w:cstheme="minorHAnsi"/>
        </w:rPr>
        <w:t xml:space="preserve"> </w:t>
      </w:r>
    </w:p>
    <w:p w14:paraId="171ADB77" w14:textId="1FC7D13F" w:rsidR="4857FB73" w:rsidRPr="007A3E66" w:rsidRDefault="4857FB73" w:rsidP="4857FB73">
      <w:pPr>
        <w:rPr>
          <w:rFonts w:eastAsia="Calibri" w:cstheme="minorHAnsi"/>
          <w:color w:val="FF0000"/>
        </w:rPr>
      </w:pPr>
    </w:p>
    <w:p w14:paraId="5DEECDC7" w14:textId="32FEA6E3" w:rsidR="00E15A6E" w:rsidRPr="007A3E66" w:rsidRDefault="00E15A6E" w:rsidP="00E15A6E">
      <w:pPr>
        <w:rPr>
          <w:rFonts w:cstheme="minorHAnsi"/>
        </w:rPr>
      </w:pPr>
    </w:p>
    <w:sectPr w:rsidR="00E15A6E" w:rsidRPr="007A3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95032"/>
    <w:multiLevelType w:val="hybridMultilevel"/>
    <w:tmpl w:val="A2728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B45140B"/>
    <w:multiLevelType w:val="hybridMultilevel"/>
    <w:tmpl w:val="5FA6C650"/>
    <w:lvl w:ilvl="0" w:tplc="A5B8F250">
      <w:start w:val="1"/>
      <w:numFmt w:val="decimal"/>
      <w:lvlText w:val="%1."/>
      <w:lvlJc w:val="left"/>
      <w:pPr>
        <w:ind w:left="720" w:hanging="360"/>
      </w:pPr>
    </w:lvl>
    <w:lvl w:ilvl="1" w:tplc="9A6206DE">
      <w:start w:val="1"/>
      <w:numFmt w:val="lowerLetter"/>
      <w:lvlText w:val="%2."/>
      <w:lvlJc w:val="left"/>
      <w:pPr>
        <w:ind w:left="1440" w:hanging="360"/>
      </w:pPr>
    </w:lvl>
    <w:lvl w:ilvl="2" w:tplc="BFB4CD00">
      <w:start w:val="1"/>
      <w:numFmt w:val="lowerRoman"/>
      <w:lvlText w:val="%3."/>
      <w:lvlJc w:val="right"/>
      <w:pPr>
        <w:ind w:left="2160" w:hanging="180"/>
      </w:pPr>
    </w:lvl>
    <w:lvl w:ilvl="3" w:tplc="1E249ECA">
      <w:start w:val="1"/>
      <w:numFmt w:val="decimal"/>
      <w:lvlText w:val="%4."/>
      <w:lvlJc w:val="left"/>
      <w:pPr>
        <w:ind w:left="2880" w:hanging="360"/>
      </w:pPr>
    </w:lvl>
    <w:lvl w:ilvl="4" w:tplc="416663BA">
      <w:start w:val="1"/>
      <w:numFmt w:val="lowerLetter"/>
      <w:lvlText w:val="%5."/>
      <w:lvlJc w:val="left"/>
      <w:pPr>
        <w:ind w:left="3600" w:hanging="360"/>
      </w:pPr>
    </w:lvl>
    <w:lvl w:ilvl="5" w:tplc="396C41B2">
      <w:start w:val="1"/>
      <w:numFmt w:val="lowerRoman"/>
      <w:lvlText w:val="%6."/>
      <w:lvlJc w:val="right"/>
      <w:pPr>
        <w:ind w:left="4320" w:hanging="180"/>
      </w:pPr>
    </w:lvl>
    <w:lvl w:ilvl="6" w:tplc="ADE2611E">
      <w:start w:val="1"/>
      <w:numFmt w:val="decimal"/>
      <w:lvlText w:val="%7."/>
      <w:lvlJc w:val="left"/>
      <w:pPr>
        <w:ind w:left="5040" w:hanging="360"/>
      </w:pPr>
    </w:lvl>
    <w:lvl w:ilvl="7" w:tplc="1E7E128C">
      <w:start w:val="1"/>
      <w:numFmt w:val="lowerLetter"/>
      <w:lvlText w:val="%8."/>
      <w:lvlJc w:val="left"/>
      <w:pPr>
        <w:ind w:left="5760" w:hanging="360"/>
      </w:pPr>
    </w:lvl>
    <w:lvl w:ilvl="8" w:tplc="DFBCEFA0">
      <w:start w:val="1"/>
      <w:numFmt w:val="lowerRoman"/>
      <w:lvlText w:val="%9."/>
      <w:lvlJc w:val="right"/>
      <w:pPr>
        <w:ind w:left="6480" w:hanging="180"/>
      </w:pPr>
    </w:lvl>
  </w:abstractNum>
  <w:abstractNum w:abstractNumId="2" w15:restartNumberingAfterBreak="0">
    <w:nsid w:val="7ECE6CD1"/>
    <w:multiLevelType w:val="hybridMultilevel"/>
    <w:tmpl w:val="AA2AB23E"/>
    <w:lvl w:ilvl="0" w:tplc="A9A22B28">
      <w:start w:val="1"/>
      <w:numFmt w:val="lowerLetter"/>
      <w:lvlText w:val="%1."/>
      <w:lvlJc w:val="left"/>
      <w:pPr>
        <w:ind w:left="720" w:hanging="360"/>
      </w:pPr>
    </w:lvl>
    <w:lvl w:ilvl="1" w:tplc="ED58EEF0">
      <w:start w:val="1"/>
      <w:numFmt w:val="lowerLetter"/>
      <w:lvlText w:val="%2."/>
      <w:lvlJc w:val="left"/>
      <w:pPr>
        <w:ind w:left="1440" w:hanging="360"/>
      </w:pPr>
    </w:lvl>
    <w:lvl w:ilvl="2" w:tplc="141E0FDE">
      <w:start w:val="1"/>
      <w:numFmt w:val="lowerRoman"/>
      <w:lvlText w:val="%3."/>
      <w:lvlJc w:val="right"/>
      <w:pPr>
        <w:ind w:left="2160" w:hanging="180"/>
      </w:pPr>
    </w:lvl>
    <w:lvl w:ilvl="3" w:tplc="15FA71F2">
      <w:start w:val="1"/>
      <w:numFmt w:val="decimal"/>
      <w:lvlText w:val="%4."/>
      <w:lvlJc w:val="left"/>
      <w:pPr>
        <w:ind w:left="2880" w:hanging="360"/>
      </w:pPr>
    </w:lvl>
    <w:lvl w:ilvl="4" w:tplc="D5D63108">
      <w:start w:val="1"/>
      <w:numFmt w:val="lowerLetter"/>
      <w:lvlText w:val="%5."/>
      <w:lvlJc w:val="left"/>
      <w:pPr>
        <w:ind w:left="3600" w:hanging="360"/>
      </w:pPr>
    </w:lvl>
    <w:lvl w:ilvl="5" w:tplc="8AF6A0FE">
      <w:start w:val="1"/>
      <w:numFmt w:val="lowerRoman"/>
      <w:lvlText w:val="%6."/>
      <w:lvlJc w:val="right"/>
      <w:pPr>
        <w:ind w:left="4320" w:hanging="180"/>
      </w:pPr>
    </w:lvl>
    <w:lvl w:ilvl="6" w:tplc="D736E19C">
      <w:start w:val="1"/>
      <w:numFmt w:val="decimal"/>
      <w:lvlText w:val="%7."/>
      <w:lvlJc w:val="left"/>
      <w:pPr>
        <w:ind w:left="5040" w:hanging="360"/>
      </w:pPr>
    </w:lvl>
    <w:lvl w:ilvl="7" w:tplc="E126187C">
      <w:start w:val="1"/>
      <w:numFmt w:val="lowerLetter"/>
      <w:lvlText w:val="%8."/>
      <w:lvlJc w:val="left"/>
      <w:pPr>
        <w:ind w:left="5760" w:hanging="360"/>
      </w:pPr>
    </w:lvl>
    <w:lvl w:ilvl="8" w:tplc="A1FA7A14">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6E"/>
    <w:rsid w:val="00055BF9"/>
    <w:rsid w:val="000D1AB6"/>
    <w:rsid w:val="000E3DFE"/>
    <w:rsid w:val="000E5B17"/>
    <w:rsid w:val="000F096B"/>
    <w:rsid w:val="001055D5"/>
    <w:rsid w:val="00146CCB"/>
    <w:rsid w:val="001813D3"/>
    <w:rsid w:val="00184D96"/>
    <w:rsid w:val="001C387C"/>
    <w:rsid w:val="002E537A"/>
    <w:rsid w:val="0031225A"/>
    <w:rsid w:val="003D7BDC"/>
    <w:rsid w:val="004A7A8D"/>
    <w:rsid w:val="005007F8"/>
    <w:rsid w:val="00505ECD"/>
    <w:rsid w:val="00510EEB"/>
    <w:rsid w:val="005230B8"/>
    <w:rsid w:val="00535AA8"/>
    <w:rsid w:val="005481DA"/>
    <w:rsid w:val="0059563C"/>
    <w:rsid w:val="005A36C2"/>
    <w:rsid w:val="005B4EA7"/>
    <w:rsid w:val="005D105D"/>
    <w:rsid w:val="005D6F93"/>
    <w:rsid w:val="00614974"/>
    <w:rsid w:val="00634062"/>
    <w:rsid w:val="00726717"/>
    <w:rsid w:val="00735039"/>
    <w:rsid w:val="00770043"/>
    <w:rsid w:val="007A3E66"/>
    <w:rsid w:val="007D3D7B"/>
    <w:rsid w:val="007F5BAF"/>
    <w:rsid w:val="00806A7B"/>
    <w:rsid w:val="00812335"/>
    <w:rsid w:val="0090280A"/>
    <w:rsid w:val="0092280D"/>
    <w:rsid w:val="00A85FD9"/>
    <w:rsid w:val="00AE2C13"/>
    <w:rsid w:val="00BB2B3F"/>
    <w:rsid w:val="00C4240C"/>
    <w:rsid w:val="00C443EC"/>
    <w:rsid w:val="00CC5368"/>
    <w:rsid w:val="00D0126D"/>
    <w:rsid w:val="00DAC4E0"/>
    <w:rsid w:val="00E15A6E"/>
    <w:rsid w:val="00E22CDB"/>
    <w:rsid w:val="00E4041B"/>
    <w:rsid w:val="00E83DCF"/>
    <w:rsid w:val="00EB7DC8"/>
    <w:rsid w:val="00EE21A0"/>
    <w:rsid w:val="00EF0B0A"/>
    <w:rsid w:val="00FF0476"/>
    <w:rsid w:val="012AC331"/>
    <w:rsid w:val="01B7D711"/>
    <w:rsid w:val="01FE2DC1"/>
    <w:rsid w:val="0272DB95"/>
    <w:rsid w:val="027755C1"/>
    <w:rsid w:val="04C3779C"/>
    <w:rsid w:val="05438318"/>
    <w:rsid w:val="06042CCF"/>
    <w:rsid w:val="06ABC49F"/>
    <w:rsid w:val="077EFB0D"/>
    <w:rsid w:val="07CFB6DA"/>
    <w:rsid w:val="07D58784"/>
    <w:rsid w:val="07EA9DE6"/>
    <w:rsid w:val="0840392F"/>
    <w:rsid w:val="08DF95F3"/>
    <w:rsid w:val="0917E1C0"/>
    <w:rsid w:val="0AB8D5F3"/>
    <w:rsid w:val="0BDBB47A"/>
    <w:rsid w:val="0C10B61C"/>
    <w:rsid w:val="0C122CAB"/>
    <w:rsid w:val="0C9B30DA"/>
    <w:rsid w:val="0CE1F840"/>
    <w:rsid w:val="0D2191E8"/>
    <w:rsid w:val="0DF83E0D"/>
    <w:rsid w:val="0F2A415D"/>
    <w:rsid w:val="0F8DA7DC"/>
    <w:rsid w:val="0FF726FE"/>
    <w:rsid w:val="10281DB5"/>
    <w:rsid w:val="102FEBC6"/>
    <w:rsid w:val="10BD1372"/>
    <w:rsid w:val="10C51CEF"/>
    <w:rsid w:val="12119A6C"/>
    <w:rsid w:val="121D216E"/>
    <w:rsid w:val="12A7EE2D"/>
    <w:rsid w:val="12FEC317"/>
    <w:rsid w:val="13760148"/>
    <w:rsid w:val="14AF85D4"/>
    <w:rsid w:val="14E485B0"/>
    <w:rsid w:val="159682E8"/>
    <w:rsid w:val="15F2DBD5"/>
    <w:rsid w:val="15F52868"/>
    <w:rsid w:val="16584AF7"/>
    <w:rsid w:val="166AEDEA"/>
    <w:rsid w:val="16E011DE"/>
    <w:rsid w:val="17F20DCB"/>
    <w:rsid w:val="17F8773C"/>
    <w:rsid w:val="181FC37C"/>
    <w:rsid w:val="1882FA6F"/>
    <w:rsid w:val="1915310A"/>
    <w:rsid w:val="191A8DDF"/>
    <w:rsid w:val="193405CA"/>
    <w:rsid w:val="19DB03F9"/>
    <w:rsid w:val="1A3E7FFD"/>
    <w:rsid w:val="1A651DEA"/>
    <w:rsid w:val="1AD9DC23"/>
    <w:rsid w:val="1AF14129"/>
    <w:rsid w:val="1B4B2111"/>
    <w:rsid w:val="1C3412EB"/>
    <w:rsid w:val="1C6CFFC5"/>
    <w:rsid w:val="1D1872FF"/>
    <w:rsid w:val="1D4B2E67"/>
    <w:rsid w:val="1E1D51C9"/>
    <w:rsid w:val="1E25EEAE"/>
    <w:rsid w:val="1EEF7B8F"/>
    <w:rsid w:val="1F4F96F3"/>
    <w:rsid w:val="20D7BF30"/>
    <w:rsid w:val="20F84833"/>
    <w:rsid w:val="2175EBAF"/>
    <w:rsid w:val="225A1F44"/>
    <w:rsid w:val="227F50ED"/>
    <w:rsid w:val="229D6FA3"/>
    <w:rsid w:val="2314BC00"/>
    <w:rsid w:val="24230047"/>
    <w:rsid w:val="2426B04B"/>
    <w:rsid w:val="2533A020"/>
    <w:rsid w:val="254E5694"/>
    <w:rsid w:val="258FAB11"/>
    <w:rsid w:val="25A05345"/>
    <w:rsid w:val="25CAD7AF"/>
    <w:rsid w:val="26820D3E"/>
    <w:rsid w:val="2699EDF5"/>
    <w:rsid w:val="27B3CB21"/>
    <w:rsid w:val="28111EF3"/>
    <w:rsid w:val="28300DC1"/>
    <w:rsid w:val="291B01BE"/>
    <w:rsid w:val="2A6476B8"/>
    <w:rsid w:val="2AF85838"/>
    <w:rsid w:val="2D1886A8"/>
    <w:rsid w:val="2D560E7A"/>
    <w:rsid w:val="2D62181D"/>
    <w:rsid w:val="2D8C820F"/>
    <w:rsid w:val="2E492F5D"/>
    <w:rsid w:val="2EE88E3C"/>
    <w:rsid w:val="2F3D88CD"/>
    <w:rsid w:val="2F65539D"/>
    <w:rsid w:val="2FE95EE3"/>
    <w:rsid w:val="3042544F"/>
    <w:rsid w:val="31695C62"/>
    <w:rsid w:val="32743808"/>
    <w:rsid w:val="3295374E"/>
    <w:rsid w:val="334E4DBD"/>
    <w:rsid w:val="33B9A6A0"/>
    <w:rsid w:val="33CF84C7"/>
    <w:rsid w:val="3418AE2A"/>
    <w:rsid w:val="34BB7290"/>
    <w:rsid w:val="3644C5A3"/>
    <w:rsid w:val="36D9B78A"/>
    <w:rsid w:val="37E5F90E"/>
    <w:rsid w:val="38476B29"/>
    <w:rsid w:val="38A95E4B"/>
    <w:rsid w:val="38ABB098"/>
    <w:rsid w:val="38B94929"/>
    <w:rsid w:val="39245FC5"/>
    <w:rsid w:val="395CAE69"/>
    <w:rsid w:val="3A543002"/>
    <w:rsid w:val="3B8FD7CA"/>
    <w:rsid w:val="3B956E5B"/>
    <w:rsid w:val="3D0EAA3A"/>
    <w:rsid w:val="3D91DD56"/>
    <w:rsid w:val="3DCA1EBF"/>
    <w:rsid w:val="3E2F4F3A"/>
    <w:rsid w:val="3E6C6AE3"/>
    <w:rsid w:val="410EC169"/>
    <w:rsid w:val="425E53FC"/>
    <w:rsid w:val="42B73575"/>
    <w:rsid w:val="440B2209"/>
    <w:rsid w:val="44113D2E"/>
    <w:rsid w:val="450D79AC"/>
    <w:rsid w:val="4574274B"/>
    <w:rsid w:val="45D87B5A"/>
    <w:rsid w:val="46B6B2CD"/>
    <w:rsid w:val="46E73056"/>
    <w:rsid w:val="47DA7C94"/>
    <w:rsid w:val="4815B384"/>
    <w:rsid w:val="4857FB73"/>
    <w:rsid w:val="48798B2D"/>
    <w:rsid w:val="488C75FE"/>
    <w:rsid w:val="49395FD6"/>
    <w:rsid w:val="49BF1731"/>
    <w:rsid w:val="4AB5178D"/>
    <w:rsid w:val="4B11C284"/>
    <w:rsid w:val="4B347241"/>
    <w:rsid w:val="4B3C9B72"/>
    <w:rsid w:val="4C4E41C6"/>
    <w:rsid w:val="4C679D25"/>
    <w:rsid w:val="4C83A98B"/>
    <w:rsid w:val="4CD77451"/>
    <w:rsid w:val="4D1376F8"/>
    <w:rsid w:val="50E55F9A"/>
    <w:rsid w:val="515DF6D4"/>
    <w:rsid w:val="51677497"/>
    <w:rsid w:val="518C47FC"/>
    <w:rsid w:val="52991F7F"/>
    <w:rsid w:val="530C3FA6"/>
    <w:rsid w:val="53A90332"/>
    <w:rsid w:val="540A9D16"/>
    <w:rsid w:val="552EF97A"/>
    <w:rsid w:val="55464B61"/>
    <w:rsid w:val="56234BE3"/>
    <w:rsid w:val="5623F312"/>
    <w:rsid w:val="5736D1B4"/>
    <w:rsid w:val="575ECB94"/>
    <w:rsid w:val="580A8278"/>
    <w:rsid w:val="587D6BA2"/>
    <w:rsid w:val="59691005"/>
    <w:rsid w:val="5A855295"/>
    <w:rsid w:val="5EB88D33"/>
    <w:rsid w:val="5F81DAFD"/>
    <w:rsid w:val="5F90F177"/>
    <w:rsid w:val="6077035B"/>
    <w:rsid w:val="60BB5A02"/>
    <w:rsid w:val="61352D7F"/>
    <w:rsid w:val="62CC67B5"/>
    <w:rsid w:val="63EEE522"/>
    <w:rsid w:val="64031708"/>
    <w:rsid w:val="644EA07A"/>
    <w:rsid w:val="6455D659"/>
    <w:rsid w:val="64E18A1E"/>
    <w:rsid w:val="650B258F"/>
    <w:rsid w:val="6532F0C7"/>
    <w:rsid w:val="6599A5F9"/>
    <w:rsid w:val="65F8420F"/>
    <w:rsid w:val="6747FFC2"/>
    <w:rsid w:val="6756831F"/>
    <w:rsid w:val="67DFD0DB"/>
    <w:rsid w:val="6976D90B"/>
    <w:rsid w:val="6A0010CA"/>
    <w:rsid w:val="6A34E981"/>
    <w:rsid w:val="6B6CB1DC"/>
    <w:rsid w:val="6BF11130"/>
    <w:rsid w:val="6C55A25C"/>
    <w:rsid w:val="6D2343F4"/>
    <w:rsid w:val="6D607970"/>
    <w:rsid w:val="6DE476E5"/>
    <w:rsid w:val="6F3EE001"/>
    <w:rsid w:val="6FC4C12E"/>
    <w:rsid w:val="7000A304"/>
    <w:rsid w:val="70818AFB"/>
    <w:rsid w:val="70999853"/>
    <w:rsid w:val="70C35247"/>
    <w:rsid w:val="71697A77"/>
    <w:rsid w:val="719C115C"/>
    <w:rsid w:val="71E96400"/>
    <w:rsid w:val="731F905C"/>
    <w:rsid w:val="7328615E"/>
    <w:rsid w:val="733CF634"/>
    <w:rsid w:val="73A8E0B6"/>
    <w:rsid w:val="748E5D2F"/>
    <w:rsid w:val="74EB9BAB"/>
    <w:rsid w:val="7555CEBF"/>
    <w:rsid w:val="755AFA81"/>
    <w:rsid w:val="766A8E65"/>
    <w:rsid w:val="7860D6A6"/>
    <w:rsid w:val="787D6559"/>
    <w:rsid w:val="78900ACA"/>
    <w:rsid w:val="790D012C"/>
    <w:rsid w:val="791B8135"/>
    <w:rsid w:val="79A0EA79"/>
    <w:rsid w:val="79BF2355"/>
    <w:rsid w:val="79BF38F7"/>
    <w:rsid w:val="7AD05C07"/>
    <w:rsid w:val="7AF46B2C"/>
    <w:rsid w:val="7B7495EA"/>
    <w:rsid w:val="7BABDD42"/>
    <w:rsid w:val="7F189811"/>
    <w:rsid w:val="7F51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C3A9"/>
  <w15:chartTrackingRefBased/>
  <w15:docId w15:val="{507251C8-2D80-4566-A294-87F42E09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3D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3EC"/>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7D3D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oledo.edu/offices/provost/docs/Fillable%20Search%20Waiver%20Request%20Form.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1C05A5A2147B2B3D245FA30647B" ma:contentTypeVersion="12" ma:contentTypeDescription="Create a new document." ma:contentTypeScope="" ma:versionID="32224e7fa770f2df06fa30b6029e7c0f">
  <xsd:schema xmlns:xsd="http://www.w3.org/2001/XMLSchema" xmlns:xs="http://www.w3.org/2001/XMLSchema" xmlns:p="http://schemas.microsoft.com/office/2006/metadata/properties" xmlns:ns3="a922db57-d62d-4d37-81d8-5fcf587c7132" xmlns:ns4="32279ac4-acfb-4319-a18e-903c856c5ef9" targetNamespace="http://schemas.microsoft.com/office/2006/metadata/properties" ma:root="true" ma:fieldsID="f15f8c38f8fcdf9ee8277f8614b7166d" ns3:_="" ns4:_="">
    <xsd:import namespace="a922db57-d62d-4d37-81d8-5fcf587c7132"/>
    <xsd:import namespace="32279ac4-acfb-4319-a18e-903c856c5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2db57-d62d-4d37-81d8-5fcf587c7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279ac4-acfb-4319-a18e-903c856c5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F14CB-4592-484F-A0D6-9A7C2D7E9E95}">
  <ds:schemaRefs>
    <ds:schemaRef ds:uri="http://schemas.microsoft.com/sharepoint/v3/contenttype/forms"/>
  </ds:schemaRefs>
</ds:datastoreItem>
</file>

<file path=customXml/itemProps2.xml><?xml version="1.0" encoding="utf-8"?>
<ds:datastoreItem xmlns:ds="http://schemas.openxmlformats.org/officeDocument/2006/customXml" ds:itemID="{B727C3B3-4ED6-4FD1-8586-5A6976FBBE68}">
  <ds:schemaRefs>
    <ds:schemaRef ds:uri="http://www.w3.org/XML/1998/namespace"/>
    <ds:schemaRef ds:uri="http://purl.org/dc/elements/1.1/"/>
    <ds:schemaRef ds:uri="http://schemas.microsoft.com/office/2006/documentManagement/types"/>
    <ds:schemaRef ds:uri="a922db57-d62d-4d37-81d8-5fcf587c7132"/>
    <ds:schemaRef ds:uri="http://purl.org/dc/dcmitype/"/>
    <ds:schemaRef ds:uri="http://schemas.microsoft.com/office/infopath/2007/PartnerControls"/>
    <ds:schemaRef ds:uri="http://schemas.microsoft.com/office/2006/metadata/properties"/>
    <ds:schemaRef ds:uri="http://schemas.openxmlformats.org/package/2006/metadata/core-properties"/>
    <ds:schemaRef ds:uri="32279ac4-acfb-4319-a18e-903c856c5ef9"/>
    <ds:schemaRef ds:uri="http://purl.org/dc/terms/"/>
  </ds:schemaRefs>
</ds:datastoreItem>
</file>

<file path=customXml/itemProps3.xml><?xml version="1.0" encoding="utf-8"?>
<ds:datastoreItem xmlns:ds="http://schemas.openxmlformats.org/officeDocument/2006/customXml" ds:itemID="{16C5C7CD-D63D-4EC4-8BE7-33650DB4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2db57-d62d-4d37-81d8-5fcf587c7132"/>
    <ds:schemaRef ds:uri="32279ac4-acfb-4319-a18e-903c856c5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1533</Words>
  <Characters>8739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Duggan</dc:creator>
  <cp:keywords/>
  <dc:description/>
  <cp:lastModifiedBy>Buckley, Tori Lynn</cp:lastModifiedBy>
  <cp:revision>2</cp:revision>
  <dcterms:created xsi:type="dcterms:W3CDTF">2020-02-18T14:21:00Z</dcterms:created>
  <dcterms:modified xsi:type="dcterms:W3CDTF">2020-02-18T14:21:00Z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0x010100776091C05A5A2147B2B3D245FA30647B</vt:lpwstr>
  </property>
</Properties>
</file>