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1BD75980"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061DCB">
        <w:rPr>
          <w:rFonts w:ascii="Footlight MT Light" w:hAnsi="Footlight MT Light"/>
          <w:bCs/>
          <w:i/>
          <w:sz w:val="20"/>
          <w:szCs w:val="20"/>
        </w:rPr>
        <w:t xml:space="preserve">August </w:t>
      </w:r>
      <w:r>
        <w:rPr>
          <w:rFonts w:ascii="Footlight MT Light" w:hAnsi="Footlight MT Light"/>
          <w:bCs/>
          <w:i/>
          <w:sz w:val="20"/>
          <w:szCs w:val="20"/>
        </w:rPr>
        <w:t>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599B7576" w14:textId="77777777"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3BF60356" w14:textId="77777777" w:rsidR="00410D13" w:rsidRDefault="00410D13" w:rsidP="00410D13">
      <w:pPr>
        <w:spacing w:after="0" w:line="240" w:lineRule="auto"/>
      </w:pP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1D6932E7" w14:textId="77777777" w:rsidR="00410D13" w:rsidRDefault="00410D13" w:rsidP="00410D13">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67D28C1A" w14:textId="77777777" w:rsidR="00410D13" w:rsidRDefault="00410D13" w:rsidP="00410D13">
      <w:pPr>
        <w:spacing w:after="0" w:line="240" w:lineRule="auto"/>
        <w:rPr>
          <w:i/>
        </w:rPr>
      </w:pPr>
    </w:p>
    <w:p w14:paraId="57E23DCB" w14:textId="39098E42" w:rsidR="00410D13" w:rsidRDefault="00061DCB" w:rsidP="008C1311">
      <w:pPr>
        <w:spacing w:after="0" w:line="240" w:lineRule="auto"/>
        <w:jc w:val="center"/>
        <w:rPr>
          <w:b/>
        </w:rPr>
      </w:pPr>
      <w:r>
        <w:rPr>
          <w:b/>
        </w:rPr>
        <w:t>August</w:t>
      </w:r>
      <w:r w:rsidR="00410D13">
        <w:rPr>
          <w:b/>
        </w:rPr>
        <w:t xml:space="preserve"> 2020 Orthopaedic Monthly Questions</w:t>
      </w: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65A07FC5" w:rsidR="00494D55" w:rsidRPr="00BE2E5F" w:rsidRDefault="00061DCB" w:rsidP="00494D55">
            <w:pPr>
              <w:pStyle w:val="ListParagraph"/>
              <w:numPr>
                <w:ilvl w:val="0"/>
                <w:numId w:val="8"/>
              </w:numPr>
              <w:spacing w:after="0" w:line="240" w:lineRule="auto"/>
              <w:rPr>
                <w:rFonts w:cs="Arial"/>
                <w:color w:val="0D0D0D" w:themeColor="text1" w:themeTint="F2"/>
                <w:sz w:val="20"/>
                <w:szCs w:val="20"/>
              </w:rPr>
            </w:pPr>
            <w:r w:rsidRPr="00BE2E5F">
              <w:rPr>
                <w:rFonts w:cs="Arial"/>
                <w:color w:val="0D0D0D" w:themeColor="text1" w:themeTint="F2"/>
                <w:sz w:val="20"/>
                <w:szCs w:val="20"/>
              </w:rPr>
              <w:t xml:space="preserve">What is </w:t>
            </w:r>
            <w:r w:rsidR="000D5A15" w:rsidRPr="00BE2E5F">
              <w:rPr>
                <w:rFonts w:cs="Arial"/>
                <w:color w:val="0D0D0D" w:themeColor="text1" w:themeTint="F2"/>
                <w:sz w:val="20"/>
                <w:szCs w:val="20"/>
              </w:rPr>
              <w:t>a Hoffa Fracture</w:t>
            </w:r>
            <w:r w:rsidRPr="00BE2E5F">
              <w:rPr>
                <w:rFonts w:cs="Arial"/>
                <w:color w:val="0D0D0D" w:themeColor="text1" w:themeTint="F2"/>
                <w:sz w:val="20"/>
                <w:szCs w:val="20"/>
              </w:rPr>
              <w:t>?</w:t>
            </w:r>
            <w:r w:rsidR="00494D55" w:rsidRPr="00BE2E5F">
              <w:rPr>
                <w:rFonts w:cs="Arial"/>
                <w:color w:val="0D0D0D" w:themeColor="text1" w:themeTint="F2"/>
                <w:sz w:val="20"/>
                <w:szCs w:val="20"/>
              </w:rPr>
              <w:t xml:space="preserve"> </w:t>
            </w:r>
          </w:p>
          <w:p w14:paraId="46040815" w14:textId="7089AD2A" w:rsidR="00494D55" w:rsidRPr="00BE2E5F" w:rsidRDefault="000D5A15" w:rsidP="00494D55">
            <w:pPr>
              <w:pStyle w:val="ListParagraph"/>
              <w:numPr>
                <w:ilvl w:val="0"/>
                <w:numId w:val="9"/>
              </w:numPr>
              <w:spacing w:after="0" w:line="240" w:lineRule="auto"/>
              <w:rPr>
                <w:rFonts w:cs="Arial"/>
                <w:bCs/>
                <w:sz w:val="20"/>
                <w:szCs w:val="20"/>
              </w:rPr>
            </w:pPr>
            <w:r w:rsidRPr="00BE2E5F">
              <w:rPr>
                <w:rFonts w:cs="Arial"/>
                <w:bCs/>
                <w:sz w:val="20"/>
                <w:szCs w:val="20"/>
              </w:rPr>
              <w:t>Occult Distal Femur Fracture</w:t>
            </w:r>
          </w:p>
          <w:p w14:paraId="23B6D9E8" w14:textId="59587394" w:rsidR="00494D55" w:rsidRPr="00BE2E5F" w:rsidRDefault="000D5A15" w:rsidP="00494D55">
            <w:pPr>
              <w:pStyle w:val="ListParagraph"/>
              <w:numPr>
                <w:ilvl w:val="0"/>
                <w:numId w:val="9"/>
              </w:numPr>
              <w:spacing w:after="0" w:line="240" w:lineRule="auto"/>
              <w:rPr>
                <w:rFonts w:cs="Arial"/>
                <w:sz w:val="20"/>
                <w:szCs w:val="20"/>
              </w:rPr>
            </w:pPr>
            <w:r w:rsidRPr="00BE2E5F">
              <w:rPr>
                <w:rFonts w:cs="Arial"/>
                <w:sz w:val="20"/>
                <w:szCs w:val="20"/>
              </w:rPr>
              <w:t>Tibial Plateau Fracture</w:t>
            </w:r>
          </w:p>
          <w:p w14:paraId="23872E05" w14:textId="5BE22039" w:rsidR="00494D55" w:rsidRPr="00BE2E5F" w:rsidRDefault="000D5A15" w:rsidP="00494D55">
            <w:pPr>
              <w:pStyle w:val="ListParagraph"/>
              <w:numPr>
                <w:ilvl w:val="0"/>
                <w:numId w:val="9"/>
              </w:numPr>
              <w:spacing w:after="0" w:line="240" w:lineRule="auto"/>
              <w:rPr>
                <w:rFonts w:cs="Arial"/>
                <w:sz w:val="20"/>
                <w:szCs w:val="20"/>
              </w:rPr>
            </w:pPr>
            <w:r w:rsidRPr="00BE2E5F">
              <w:rPr>
                <w:rFonts w:cs="Arial"/>
                <w:sz w:val="20"/>
                <w:szCs w:val="20"/>
              </w:rPr>
              <w:t>Humerus Fracture</w:t>
            </w:r>
          </w:p>
          <w:p w14:paraId="606C2600" w14:textId="7CA0A9B5" w:rsidR="00410D13" w:rsidRPr="00BE2E5F" w:rsidRDefault="000D5A15" w:rsidP="00494D55">
            <w:pPr>
              <w:pStyle w:val="ListParagraph"/>
              <w:numPr>
                <w:ilvl w:val="0"/>
                <w:numId w:val="9"/>
              </w:numPr>
              <w:spacing w:after="0" w:line="240" w:lineRule="auto"/>
              <w:rPr>
                <w:rFonts w:cs="Arial"/>
                <w:sz w:val="20"/>
                <w:szCs w:val="20"/>
              </w:rPr>
            </w:pPr>
            <w:r w:rsidRPr="00BE2E5F">
              <w:rPr>
                <w:rFonts w:cs="Arial"/>
                <w:sz w:val="20"/>
                <w:szCs w:val="20"/>
              </w:rPr>
              <w:t>Radial Head Fracture</w:t>
            </w:r>
          </w:p>
          <w:p w14:paraId="75F18834" w14:textId="77777777" w:rsidR="00494D55" w:rsidRPr="00BE2E5F" w:rsidRDefault="00494D55" w:rsidP="00494D55">
            <w:pPr>
              <w:spacing w:after="0" w:line="240" w:lineRule="auto"/>
              <w:rPr>
                <w:rFonts w:cs="Arial"/>
                <w:color w:val="FF0000"/>
                <w:sz w:val="20"/>
                <w:szCs w:val="20"/>
              </w:rPr>
            </w:pPr>
          </w:p>
          <w:p w14:paraId="2FFAB0AF" w14:textId="1F7C75E9" w:rsidR="00410D13" w:rsidRPr="00BE2E5F" w:rsidRDefault="00410D13" w:rsidP="00494D55">
            <w:pPr>
              <w:pStyle w:val="ListParagraph"/>
              <w:numPr>
                <w:ilvl w:val="0"/>
                <w:numId w:val="8"/>
              </w:numPr>
              <w:spacing w:after="0" w:line="240" w:lineRule="auto"/>
              <w:rPr>
                <w:rFonts w:cs="Arial"/>
                <w:sz w:val="20"/>
                <w:szCs w:val="20"/>
              </w:rPr>
            </w:pPr>
            <w:r w:rsidRPr="00BE2E5F">
              <w:rPr>
                <w:rFonts w:cs="Arial"/>
                <w:sz w:val="20"/>
                <w:szCs w:val="20"/>
              </w:rPr>
              <w:t>What</w:t>
            </w:r>
            <w:r w:rsidR="00494D55" w:rsidRPr="00BE2E5F">
              <w:rPr>
                <w:rFonts w:cs="Arial"/>
                <w:sz w:val="20"/>
                <w:szCs w:val="20"/>
              </w:rPr>
              <w:t xml:space="preserve"> </w:t>
            </w:r>
            <w:r w:rsidR="00061DCB" w:rsidRPr="00BE2E5F">
              <w:rPr>
                <w:rFonts w:cs="Arial"/>
                <w:sz w:val="20"/>
                <w:szCs w:val="20"/>
              </w:rPr>
              <w:t>type of Salter-Harris Fracture passes through the epiphysis, the growth plate, and the metaphysis</w:t>
            </w:r>
            <w:r w:rsidR="00A956D7" w:rsidRPr="00BE2E5F">
              <w:rPr>
                <w:rFonts w:cs="Arial"/>
                <w:sz w:val="20"/>
                <w:szCs w:val="20"/>
              </w:rPr>
              <w:t xml:space="preserve">? </w:t>
            </w:r>
          </w:p>
          <w:p w14:paraId="084BE64B" w14:textId="23C79D68" w:rsidR="00A956D7" w:rsidRPr="00BE2E5F" w:rsidRDefault="00061DCB" w:rsidP="000824AB">
            <w:pPr>
              <w:pStyle w:val="ListParagraph"/>
              <w:numPr>
                <w:ilvl w:val="0"/>
                <w:numId w:val="4"/>
              </w:numPr>
              <w:spacing w:after="0" w:line="240" w:lineRule="auto"/>
              <w:rPr>
                <w:rFonts w:cs="Arial"/>
                <w:sz w:val="20"/>
                <w:szCs w:val="20"/>
              </w:rPr>
            </w:pPr>
            <w:r w:rsidRPr="00BE2E5F">
              <w:rPr>
                <w:rFonts w:cs="Arial"/>
                <w:sz w:val="20"/>
                <w:szCs w:val="20"/>
              </w:rPr>
              <w:t>Type I</w:t>
            </w:r>
          </w:p>
          <w:p w14:paraId="5069DEC8" w14:textId="10DC7ACB" w:rsidR="00410D13" w:rsidRPr="00BE2E5F" w:rsidRDefault="00061DCB" w:rsidP="000824AB">
            <w:pPr>
              <w:pStyle w:val="ListParagraph"/>
              <w:numPr>
                <w:ilvl w:val="0"/>
                <w:numId w:val="4"/>
              </w:numPr>
              <w:spacing w:after="0" w:line="240" w:lineRule="auto"/>
              <w:rPr>
                <w:rFonts w:cs="Arial"/>
                <w:sz w:val="20"/>
                <w:szCs w:val="20"/>
              </w:rPr>
            </w:pPr>
            <w:r w:rsidRPr="00BE2E5F">
              <w:rPr>
                <w:rFonts w:cs="Arial"/>
                <w:sz w:val="20"/>
                <w:szCs w:val="20"/>
              </w:rPr>
              <w:t>Type II</w:t>
            </w:r>
          </w:p>
          <w:p w14:paraId="089472BB" w14:textId="2BEC085F" w:rsidR="00410D13" w:rsidRPr="00BE2E5F" w:rsidRDefault="00061DCB" w:rsidP="00774012">
            <w:pPr>
              <w:pStyle w:val="ListParagraph"/>
              <w:numPr>
                <w:ilvl w:val="0"/>
                <w:numId w:val="4"/>
              </w:numPr>
              <w:spacing w:after="0" w:line="240" w:lineRule="auto"/>
              <w:rPr>
                <w:rFonts w:cs="Arial"/>
                <w:sz w:val="20"/>
                <w:szCs w:val="20"/>
              </w:rPr>
            </w:pPr>
            <w:r w:rsidRPr="00BE2E5F">
              <w:rPr>
                <w:rFonts w:cs="Arial"/>
                <w:sz w:val="20"/>
                <w:szCs w:val="20"/>
              </w:rPr>
              <w:t>Type III</w:t>
            </w:r>
          </w:p>
          <w:p w14:paraId="42021BC4" w14:textId="10187679" w:rsidR="00410D13" w:rsidRPr="00BE2E5F" w:rsidRDefault="00061DCB" w:rsidP="00774012">
            <w:pPr>
              <w:pStyle w:val="ListParagraph"/>
              <w:numPr>
                <w:ilvl w:val="0"/>
                <w:numId w:val="4"/>
              </w:numPr>
              <w:spacing w:after="0" w:line="240" w:lineRule="auto"/>
              <w:rPr>
                <w:rFonts w:cs="Arial"/>
                <w:bCs/>
                <w:sz w:val="20"/>
                <w:szCs w:val="20"/>
              </w:rPr>
            </w:pPr>
            <w:r w:rsidRPr="00BE2E5F">
              <w:rPr>
                <w:rFonts w:cs="Arial"/>
                <w:bCs/>
                <w:sz w:val="20"/>
                <w:szCs w:val="20"/>
              </w:rPr>
              <w:t>Type IV</w:t>
            </w:r>
            <w:r w:rsidR="00410D13" w:rsidRPr="00BE2E5F">
              <w:rPr>
                <w:rFonts w:cs="Arial"/>
                <w:bCs/>
                <w:sz w:val="20"/>
                <w:szCs w:val="20"/>
              </w:rPr>
              <w:br/>
            </w:r>
          </w:p>
          <w:p w14:paraId="65F01201" w14:textId="425EB7D8" w:rsidR="00410D13" w:rsidRPr="00BE2E5F" w:rsidRDefault="000D5A15" w:rsidP="00774012">
            <w:pPr>
              <w:pStyle w:val="ListParagraph"/>
              <w:numPr>
                <w:ilvl w:val="0"/>
                <w:numId w:val="2"/>
              </w:numPr>
              <w:spacing w:after="0" w:line="240" w:lineRule="auto"/>
              <w:rPr>
                <w:rFonts w:cs="Arial"/>
                <w:sz w:val="20"/>
                <w:szCs w:val="20"/>
              </w:rPr>
            </w:pPr>
            <w:r w:rsidRPr="00BE2E5F">
              <w:rPr>
                <w:rFonts w:cs="Arial"/>
                <w:sz w:val="20"/>
                <w:szCs w:val="20"/>
              </w:rPr>
              <w:t>The Double Arch Sign is a term that refers to what fracture?</w:t>
            </w:r>
            <w:r w:rsidR="00410D13" w:rsidRPr="00BE2E5F">
              <w:rPr>
                <w:rFonts w:cs="Arial"/>
                <w:sz w:val="20"/>
                <w:szCs w:val="20"/>
              </w:rPr>
              <w:br/>
            </w:r>
            <w:proofErr w:type="gramStart"/>
            <w:r w:rsidR="00410D13" w:rsidRPr="00BE2E5F">
              <w:rPr>
                <w:rFonts w:cs="Arial"/>
                <w:sz w:val="20"/>
                <w:szCs w:val="20"/>
              </w:rPr>
              <w:t xml:space="preserve">A)   </w:t>
            </w:r>
            <w:proofErr w:type="gramEnd"/>
            <w:r w:rsidR="00410D13" w:rsidRPr="00BE2E5F">
              <w:rPr>
                <w:rFonts w:cs="Arial"/>
                <w:sz w:val="20"/>
                <w:szCs w:val="20"/>
              </w:rPr>
              <w:t xml:space="preserve"> </w:t>
            </w:r>
            <w:r w:rsidRPr="00BE2E5F">
              <w:rPr>
                <w:rFonts w:cs="Arial"/>
                <w:sz w:val="20"/>
                <w:szCs w:val="20"/>
              </w:rPr>
              <w:t>Shoulder Fracture</w:t>
            </w:r>
          </w:p>
          <w:p w14:paraId="7DCDB15C" w14:textId="015DFD40" w:rsidR="00565F21" w:rsidRPr="00BE2E5F" w:rsidRDefault="00410D13" w:rsidP="00565F21">
            <w:pPr>
              <w:spacing w:after="0" w:line="240" w:lineRule="auto"/>
              <w:contextualSpacing/>
              <w:rPr>
                <w:rFonts w:cs="Arial"/>
                <w:sz w:val="20"/>
                <w:szCs w:val="20"/>
              </w:rPr>
            </w:pPr>
            <w:r w:rsidRPr="00BE2E5F">
              <w:rPr>
                <w:rFonts w:cs="Arial"/>
                <w:sz w:val="20"/>
                <w:szCs w:val="20"/>
              </w:rPr>
              <w:t xml:space="preserve">        B)    </w:t>
            </w:r>
            <w:r w:rsidR="000D5A15" w:rsidRPr="00BE2E5F">
              <w:rPr>
                <w:rFonts w:cs="Arial"/>
                <w:sz w:val="20"/>
                <w:szCs w:val="20"/>
              </w:rPr>
              <w:t>Wrist Fracture</w:t>
            </w:r>
          </w:p>
          <w:p w14:paraId="1704FFF9" w14:textId="2D78B5C6" w:rsidR="00410D13" w:rsidRPr="00BE2E5F" w:rsidRDefault="00565F21" w:rsidP="00565F21">
            <w:pPr>
              <w:spacing w:after="0" w:line="240" w:lineRule="auto"/>
              <w:contextualSpacing/>
              <w:rPr>
                <w:rFonts w:cs="Arial"/>
                <w:sz w:val="20"/>
                <w:szCs w:val="20"/>
              </w:rPr>
            </w:pPr>
            <w:r w:rsidRPr="00BE2E5F">
              <w:rPr>
                <w:rFonts w:cs="Arial"/>
                <w:sz w:val="20"/>
                <w:szCs w:val="20"/>
              </w:rPr>
              <w:t xml:space="preserve">        C)    </w:t>
            </w:r>
            <w:r w:rsidR="000D5A15" w:rsidRPr="00BE2E5F">
              <w:rPr>
                <w:rFonts w:cs="Arial"/>
                <w:sz w:val="20"/>
                <w:szCs w:val="20"/>
              </w:rPr>
              <w:t xml:space="preserve">Knee Fracture </w:t>
            </w:r>
          </w:p>
          <w:p w14:paraId="35DCA6C9" w14:textId="2670029A" w:rsidR="00410D13" w:rsidRPr="00BE2E5F" w:rsidRDefault="00565F21" w:rsidP="00565F21">
            <w:pPr>
              <w:spacing w:after="0" w:line="240" w:lineRule="auto"/>
              <w:rPr>
                <w:rFonts w:cs="Arial"/>
                <w:bCs/>
                <w:sz w:val="20"/>
                <w:szCs w:val="20"/>
              </w:rPr>
            </w:pPr>
            <w:r w:rsidRPr="00BE2E5F">
              <w:rPr>
                <w:rFonts w:cs="Arial"/>
                <w:bCs/>
                <w:sz w:val="20"/>
                <w:szCs w:val="20"/>
              </w:rPr>
              <w:t xml:space="preserve">        D)    </w:t>
            </w:r>
            <w:r w:rsidR="000D5A15" w:rsidRPr="00BE2E5F">
              <w:rPr>
                <w:rFonts w:cs="Arial"/>
                <w:bCs/>
                <w:sz w:val="20"/>
                <w:szCs w:val="20"/>
              </w:rPr>
              <w:t>Capitellum Fracture</w:t>
            </w:r>
          </w:p>
          <w:p w14:paraId="6CF730C1" w14:textId="77777777" w:rsidR="00410D13" w:rsidRPr="00BE2E5F" w:rsidRDefault="00410D13">
            <w:pPr>
              <w:spacing w:after="0" w:line="240" w:lineRule="auto"/>
              <w:rPr>
                <w:rFonts w:cs="Arial"/>
                <w:sz w:val="20"/>
                <w:szCs w:val="20"/>
              </w:rPr>
            </w:pPr>
          </w:p>
        </w:tc>
        <w:tc>
          <w:tcPr>
            <w:tcW w:w="5130" w:type="dxa"/>
            <w:hideMark/>
          </w:tcPr>
          <w:p w14:paraId="62163DBE" w14:textId="4827597C" w:rsidR="00410D13" w:rsidRPr="00BE2E5F" w:rsidRDefault="000D5A15" w:rsidP="00774012">
            <w:pPr>
              <w:pStyle w:val="ListParagraph"/>
              <w:numPr>
                <w:ilvl w:val="0"/>
                <w:numId w:val="2"/>
              </w:numPr>
              <w:spacing w:after="0" w:line="240" w:lineRule="auto"/>
              <w:rPr>
                <w:rFonts w:cs="Arial"/>
                <w:sz w:val="20"/>
                <w:szCs w:val="20"/>
              </w:rPr>
            </w:pPr>
            <w:r w:rsidRPr="00BE2E5F">
              <w:rPr>
                <w:rFonts w:cs="Arial"/>
                <w:sz w:val="20"/>
                <w:szCs w:val="20"/>
              </w:rPr>
              <w:t>L5 nerve root irritation results from __</w:t>
            </w:r>
          </w:p>
          <w:p w14:paraId="144983BF" w14:textId="4B54F9BF" w:rsidR="00BF739E" w:rsidRPr="00BE2E5F" w:rsidRDefault="000D5A15" w:rsidP="00BF739E">
            <w:pPr>
              <w:pStyle w:val="ListParagraph"/>
              <w:numPr>
                <w:ilvl w:val="0"/>
                <w:numId w:val="6"/>
              </w:numPr>
              <w:spacing w:after="0" w:line="240" w:lineRule="auto"/>
              <w:rPr>
                <w:rFonts w:cs="Arial"/>
                <w:sz w:val="20"/>
                <w:szCs w:val="20"/>
              </w:rPr>
            </w:pPr>
            <w:r w:rsidRPr="00BE2E5F">
              <w:rPr>
                <w:rFonts w:cs="Arial"/>
                <w:sz w:val="20"/>
                <w:szCs w:val="20"/>
              </w:rPr>
              <w:t>L5-S1 Disc Herniation and Affects the Quadriceps Muscle</w:t>
            </w:r>
          </w:p>
          <w:p w14:paraId="0A4B95F1" w14:textId="4969231F" w:rsidR="00410D13" w:rsidRPr="00BE2E5F" w:rsidRDefault="00565F21" w:rsidP="00774012">
            <w:pPr>
              <w:pStyle w:val="ListParagraph"/>
              <w:numPr>
                <w:ilvl w:val="0"/>
                <w:numId w:val="6"/>
              </w:numPr>
              <w:spacing w:after="0" w:line="240" w:lineRule="auto"/>
              <w:rPr>
                <w:rFonts w:cs="Arial"/>
                <w:sz w:val="20"/>
                <w:szCs w:val="20"/>
              </w:rPr>
            </w:pPr>
            <w:r w:rsidRPr="00BE2E5F">
              <w:rPr>
                <w:rFonts w:cs="Arial"/>
                <w:sz w:val="20"/>
                <w:szCs w:val="20"/>
              </w:rPr>
              <w:t>L</w:t>
            </w:r>
            <w:r w:rsidR="000D5A15" w:rsidRPr="00BE2E5F">
              <w:rPr>
                <w:rFonts w:cs="Arial"/>
                <w:sz w:val="20"/>
                <w:szCs w:val="20"/>
              </w:rPr>
              <w:t>4-L5 Disc Herniation and Affects the Extensor Hallucis Longus</w:t>
            </w:r>
          </w:p>
          <w:p w14:paraId="10C3F1F4" w14:textId="51F56B0D" w:rsidR="00410D13" w:rsidRPr="00BE2E5F" w:rsidRDefault="00565F21" w:rsidP="00774012">
            <w:pPr>
              <w:pStyle w:val="ListParagraph"/>
              <w:numPr>
                <w:ilvl w:val="0"/>
                <w:numId w:val="6"/>
              </w:numPr>
              <w:spacing w:after="0" w:line="240" w:lineRule="auto"/>
              <w:rPr>
                <w:rFonts w:cs="Arial"/>
                <w:bCs/>
                <w:sz w:val="20"/>
                <w:szCs w:val="20"/>
              </w:rPr>
            </w:pPr>
            <w:r w:rsidRPr="00BE2E5F">
              <w:rPr>
                <w:rFonts w:cs="Arial"/>
                <w:bCs/>
                <w:sz w:val="20"/>
                <w:szCs w:val="20"/>
              </w:rPr>
              <w:t>L</w:t>
            </w:r>
            <w:r w:rsidR="000D5A15" w:rsidRPr="00BE2E5F">
              <w:rPr>
                <w:rFonts w:cs="Arial"/>
                <w:bCs/>
                <w:sz w:val="20"/>
                <w:szCs w:val="20"/>
              </w:rPr>
              <w:t>5-S1 Disc Herniation and Affects the Extensor Hallucis Longus</w:t>
            </w:r>
          </w:p>
          <w:p w14:paraId="30032506" w14:textId="46ABE8B3" w:rsidR="00BF739E" w:rsidRPr="00BE2E5F" w:rsidRDefault="00565F21" w:rsidP="00774012">
            <w:pPr>
              <w:pStyle w:val="ListParagraph"/>
              <w:numPr>
                <w:ilvl w:val="0"/>
                <w:numId w:val="6"/>
              </w:numPr>
              <w:spacing w:after="0" w:line="240" w:lineRule="auto"/>
              <w:rPr>
                <w:rFonts w:cs="Arial"/>
                <w:sz w:val="20"/>
                <w:szCs w:val="20"/>
              </w:rPr>
            </w:pPr>
            <w:r w:rsidRPr="00BE2E5F">
              <w:rPr>
                <w:rFonts w:cs="Arial"/>
                <w:sz w:val="20"/>
                <w:szCs w:val="20"/>
              </w:rPr>
              <w:t>L</w:t>
            </w:r>
            <w:r w:rsidR="000D5A15" w:rsidRPr="00BE2E5F">
              <w:rPr>
                <w:rFonts w:cs="Arial"/>
                <w:sz w:val="20"/>
                <w:szCs w:val="20"/>
              </w:rPr>
              <w:t>4-L5 Disc Herniation and Affects the Quadriceps Muscle</w:t>
            </w:r>
          </w:p>
          <w:p w14:paraId="714F557A" w14:textId="15FDEA55" w:rsidR="00410D13" w:rsidRPr="00BE2E5F" w:rsidRDefault="00410D13" w:rsidP="00680E7F">
            <w:pPr>
              <w:spacing w:after="0" w:line="240" w:lineRule="auto"/>
              <w:rPr>
                <w:rFonts w:cs="Arial"/>
                <w:sz w:val="20"/>
                <w:szCs w:val="20"/>
              </w:rPr>
            </w:pPr>
          </w:p>
          <w:p w14:paraId="0B8F1D8A" w14:textId="59101390" w:rsidR="00410D13" w:rsidRPr="00BE2E5F" w:rsidRDefault="00410D13" w:rsidP="00774012">
            <w:pPr>
              <w:pStyle w:val="ListParagraph"/>
              <w:numPr>
                <w:ilvl w:val="0"/>
                <w:numId w:val="2"/>
              </w:numPr>
              <w:spacing w:after="0" w:line="240" w:lineRule="auto"/>
              <w:rPr>
                <w:rFonts w:cs="Arial"/>
                <w:sz w:val="20"/>
                <w:szCs w:val="20"/>
              </w:rPr>
            </w:pPr>
            <w:r w:rsidRPr="00BE2E5F">
              <w:rPr>
                <w:rFonts w:cs="Arial"/>
                <w:sz w:val="20"/>
                <w:szCs w:val="20"/>
              </w:rPr>
              <w:t>W</w:t>
            </w:r>
            <w:r w:rsidR="00494D55" w:rsidRPr="00BE2E5F">
              <w:rPr>
                <w:rFonts w:cs="Arial"/>
                <w:sz w:val="20"/>
                <w:szCs w:val="20"/>
              </w:rPr>
              <w:t>h</w:t>
            </w:r>
            <w:r w:rsidR="00BF739E" w:rsidRPr="00BE2E5F">
              <w:rPr>
                <w:rFonts w:cs="Arial"/>
                <w:sz w:val="20"/>
                <w:szCs w:val="20"/>
              </w:rPr>
              <w:t xml:space="preserve">at </w:t>
            </w:r>
            <w:r w:rsidR="003669CE" w:rsidRPr="00BE2E5F">
              <w:rPr>
                <w:rFonts w:cs="Arial"/>
                <w:sz w:val="20"/>
                <w:szCs w:val="20"/>
              </w:rPr>
              <w:t>may dysfunction of the trapezius cause</w:t>
            </w:r>
            <w:r w:rsidR="00494D55" w:rsidRPr="00BE2E5F">
              <w:rPr>
                <w:rFonts w:cs="Arial"/>
                <w:sz w:val="20"/>
                <w:szCs w:val="20"/>
              </w:rPr>
              <w:t>?</w:t>
            </w:r>
          </w:p>
          <w:p w14:paraId="0C6CE01F" w14:textId="0FD0337B" w:rsidR="00410D13" w:rsidRPr="00BE2E5F" w:rsidRDefault="003669CE" w:rsidP="00774012">
            <w:pPr>
              <w:pStyle w:val="ListParagraph"/>
              <w:numPr>
                <w:ilvl w:val="0"/>
                <w:numId w:val="7"/>
              </w:numPr>
              <w:spacing w:after="0" w:line="240" w:lineRule="auto"/>
              <w:rPr>
                <w:rFonts w:cs="Arial"/>
                <w:sz w:val="20"/>
                <w:szCs w:val="20"/>
              </w:rPr>
            </w:pPr>
            <w:r w:rsidRPr="00BE2E5F">
              <w:rPr>
                <w:rFonts w:cs="Arial"/>
                <w:sz w:val="20"/>
                <w:szCs w:val="20"/>
              </w:rPr>
              <w:t>Lower Back Pain</w:t>
            </w:r>
          </w:p>
          <w:p w14:paraId="487004AA" w14:textId="764DC8DB" w:rsidR="00410D13" w:rsidRPr="00BE2E5F" w:rsidRDefault="003669CE" w:rsidP="00494D55">
            <w:pPr>
              <w:pStyle w:val="ListParagraph"/>
              <w:numPr>
                <w:ilvl w:val="0"/>
                <w:numId w:val="7"/>
              </w:numPr>
              <w:spacing w:after="0" w:line="240" w:lineRule="auto"/>
              <w:rPr>
                <w:rFonts w:cs="Arial"/>
                <w:bCs/>
                <w:sz w:val="20"/>
                <w:szCs w:val="20"/>
              </w:rPr>
            </w:pPr>
            <w:r w:rsidRPr="00BE2E5F">
              <w:rPr>
                <w:rFonts w:cs="Arial"/>
                <w:bCs/>
                <w:sz w:val="20"/>
                <w:szCs w:val="20"/>
              </w:rPr>
              <w:t>Lateral Winging of the Scapula</w:t>
            </w:r>
          </w:p>
          <w:p w14:paraId="49795DCC" w14:textId="77777777" w:rsidR="00410D13" w:rsidRPr="00BE2E5F" w:rsidRDefault="003669CE" w:rsidP="003669CE">
            <w:pPr>
              <w:pStyle w:val="ListParagraph"/>
              <w:numPr>
                <w:ilvl w:val="0"/>
                <w:numId w:val="7"/>
              </w:numPr>
              <w:spacing w:after="0" w:line="240" w:lineRule="auto"/>
              <w:rPr>
                <w:rFonts w:cs="Arial"/>
                <w:sz w:val="20"/>
                <w:szCs w:val="20"/>
              </w:rPr>
            </w:pPr>
            <w:r w:rsidRPr="00BE2E5F">
              <w:rPr>
                <w:rFonts w:cs="Arial"/>
                <w:sz w:val="20"/>
                <w:szCs w:val="20"/>
              </w:rPr>
              <w:t>Shoulder Dislocation</w:t>
            </w:r>
          </w:p>
          <w:p w14:paraId="0C6FD443" w14:textId="36E53186" w:rsidR="003669CE" w:rsidRPr="00BE2E5F" w:rsidRDefault="003669CE" w:rsidP="003669CE">
            <w:pPr>
              <w:pStyle w:val="ListParagraph"/>
              <w:numPr>
                <w:ilvl w:val="0"/>
                <w:numId w:val="7"/>
              </w:numPr>
              <w:spacing w:after="0" w:line="240" w:lineRule="auto"/>
              <w:rPr>
                <w:rFonts w:cs="Arial"/>
                <w:sz w:val="20"/>
                <w:szCs w:val="20"/>
              </w:rPr>
            </w:pPr>
            <w:bookmarkStart w:id="0" w:name="_GoBack"/>
            <w:bookmarkEnd w:id="0"/>
            <w:r w:rsidRPr="00BE2E5F">
              <w:rPr>
                <w:rFonts w:cs="Arial"/>
                <w:sz w:val="20"/>
                <w:szCs w:val="20"/>
              </w:rPr>
              <w:t>Medial Winging of the Scapula</w:t>
            </w:r>
          </w:p>
        </w:tc>
      </w:tr>
    </w:tbl>
    <w:p w14:paraId="44C79BDB" w14:textId="54C79514" w:rsidR="00410D13" w:rsidRPr="00730832" w:rsidRDefault="00410D13" w:rsidP="00410D13">
      <w:pPr>
        <w:spacing w:after="0" w:line="240" w:lineRule="auto"/>
        <w:rPr>
          <w:b/>
          <w:sz w:val="20"/>
          <w:szCs w:val="20"/>
        </w:rPr>
      </w:pPr>
      <w:r>
        <w:rPr>
          <w:b/>
          <w:sz w:val="20"/>
          <w:szCs w:val="20"/>
        </w:rPr>
        <w:t xml:space="preserve">Bibliographic references: </w:t>
      </w:r>
    </w:p>
    <w:p w14:paraId="202DE839" w14:textId="15AB293D" w:rsidR="002D25DF" w:rsidRDefault="00410D13" w:rsidP="00410D13">
      <w:pPr>
        <w:spacing w:after="0" w:line="240" w:lineRule="auto"/>
        <w:contextualSpacing/>
        <w:rPr>
          <w:sz w:val="20"/>
          <w:szCs w:val="20"/>
        </w:rPr>
      </w:pPr>
      <w:r>
        <w:rPr>
          <w:sz w:val="20"/>
          <w:szCs w:val="20"/>
        </w:rPr>
        <w:t xml:space="preserve">* </w:t>
      </w:r>
      <w:r w:rsidR="002D25DF">
        <w:rPr>
          <w:sz w:val="20"/>
          <w:szCs w:val="20"/>
        </w:rPr>
        <w:t xml:space="preserve">Acute Lumbar Disc Pain: Navigating Evaluation and Treatment 2008 October 1; 78 (7): 835-42 PMID: 18841731. Gregory DS. </w:t>
      </w:r>
    </w:p>
    <w:p w14:paraId="651E1BF3" w14:textId="5B57F377" w:rsidR="000F2AB7" w:rsidRDefault="002D25DF" w:rsidP="00410D13">
      <w:pPr>
        <w:spacing w:after="0" w:line="240" w:lineRule="auto"/>
        <w:contextualSpacing/>
        <w:rPr>
          <w:sz w:val="20"/>
          <w:szCs w:val="20"/>
        </w:rPr>
      </w:pPr>
      <w:r>
        <w:rPr>
          <w:sz w:val="20"/>
          <w:szCs w:val="20"/>
        </w:rPr>
        <w:t xml:space="preserve">* </w:t>
      </w:r>
      <w:r w:rsidR="00E74DE4">
        <w:rPr>
          <w:sz w:val="20"/>
          <w:szCs w:val="20"/>
        </w:rPr>
        <w:t xml:space="preserve">An Uncommon Combination of Fractures around the Elbow: Capitellum Fracture Associated with Radial Head Fracture 2016 September-October; 6 (4): 108-110 PMID: 28164067 in Journal of Orthopedic Case Reports. Walid, O. </w:t>
      </w:r>
    </w:p>
    <w:p w14:paraId="64CDFC8B" w14:textId="6E0553BB" w:rsidR="00E74DE4" w:rsidRDefault="00E74DE4" w:rsidP="00410D13">
      <w:pPr>
        <w:spacing w:after="0" w:line="240" w:lineRule="auto"/>
        <w:contextualSpacing/>
        <w:rPr>
          <w:sz w:val="20"/>
          <w:szCs w:val="20"/>
        </w:rPr>
      </w:pPr>
      <w:r>
        <w:rPr>
          <w:sz w:val="20"/>
          <w:szCs w:val="20"/>
        </w:rPr>
        <w:t xml:space="preserve">* Modern Implant Options for the Treatment of Distal Femur Fractures 2019 October </w:t>
      </w:r>
      <w:r w:rsidR="002D25DF">
        <w:rPr>
          <w:sz w:val="20"/>
          <w:szCs w:val="20"/>
        </w:rPr>
        <w:t xml:space="preserve">01; 27 (19): 867-875 PMID: 30939565 in </w:t>
      </w:r>
      <w:proofErr w:type="spellStart"/>
      <w:r w:rsidR="002D25DF">
        <w:rPr>
          <w:sz w:val="20"/>
          <w:szCs w:val="20"/>
        </w:rPr>
        <w:t>Jornal</w:t>
      </w:r>
      <w:proofErr w:type="spellEnd"/>
      <w:r w:rsidR="002D25DF">
        <w:rPr>
          <w:sz w:val="20"/>
          <w:szCs w:val="20"/>
        </w:rPr>
        <w:t xml:space="preserve"> of American Academy of Orthopedic Surgery. Hake, ME.</w:t>
      </w:r>
    </w:p>
    <w:p w14:paraId="3C81145E" w14:textId="117630E7" w:rsidR="002D25DF" w:rsidRDefault="002D25DF" w:rsidP="00410D13">
      <w:pPr>
        <w:spacing w:after="0" w:line="240" w:lineRule="auto"/>
        <w:contextualSpacing/>
        <w:rPr>
          <w:sz w:val="20"/>
          <w:szCs w:val="20"/>
        </w:rPr>
      </w:pPr>
      <w:r>
        <w:rPr>
          <w:sz w:val="20"/>
          <w:szCs w:val="20"/>
        </w:rPr>
        <w:t xml:space="preserve">* Recent Research on the Growth Plate: Mechanisms for Growth Plate Injury 2014 August; 53 (1): 45-61 PMID: 25114207 in Journal of Molecular Endocrinology. Chung, R. </w:t>
      </w:r>
    </w:p>
    <w:p w14:paraId="1419B04B" w14:textId="49E9493B" w:rsidR="00410D13" w:rsidRDefault="002D25DF" w:rsidP="00410D13">
      <w:pPr>
        <w:spacing w:after="0" w:line="240" w:lineRule="auto"/>
        <w:contextualSpacing/>
        <w:rPr>
          <w:sz w:val="20"/>
          <w:szCs w:val="20"/>
        </w:rPr>
      </w:pPr>
      <w:r>
        <w:rPr>
          <w:sz w:val="20"/>
          <w:szCs w:val="20"/>
        </w:rPr>
        <w:t xml:space="preserve">* Scapular Winging 1995 November; 3 (6): 319-325 PMID: 10790670 in Journal of American </w:t>
      </w:r>
      <w:r w:rsidR="000D5A15">
        <w:rPr>
          <w:sz w:val="20"/>
          <w:szCs w:val="20"/>
        </w:rPr>
        <w:t>Academy</w:t>
      </w:r>
      <w:r>
        <w:rPr>
          <w:sz w:val="20"/>
          <w:szCs w:val="20"/>
        </w:rPr>
        <w:t xml:space="preserve"> of Orthopedic Surgery. Kuhn, JE. </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BE2E5F"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758E3C5C"/>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31983"/>
    <w:rsid w:val="00061DCB"/>
    <w:rsid w:val="000D5A15"/>
    <w:rsid w:val="000E05D8"/>
    <w:rsid w:val="000F2AB7"/>
    <w:rsid w:val="001411A6"/>
    <w:rsid w:val="001672FF"/>
    <w:rsid w:val="0019290D"/>
    <w:rsid w:val="00227352"/>
    <w:rsid w:val="0027570E"/>
    <w:rsid w:val="002D25DF"/>
    <w:rsid w:val="00356A74"/>
    <w:rsid w:val="003669CE"/>
    <w:rsid w:val="0039355D"/>
    <w:rsid w:val="003A1093"/>
    <w:rsid w:val="003D366D"/>
    <w:rsid w:val="00410D13"/>
    <w:rsid w:val="00494D55"/>
    <w:rsid w:val="00565F21"/>
    <w:rsid w:val="00626FB0"/>
    <w:rsid w:val="00680E7F"/>
    <w:rsid w:val="006E0FBF"/>
    <w:rsid w:val="00730832"/>
    <w:rsid w:val="007D1CA2"/>
    <w:rsid w:val="007F26E0"/>
    <w:rsid w:val="008A35CC"/>
    <w:rsid w:val="008A6F0B"/>
    <w:rsid w:val="008C080E"/>
    <w:rsid w:val="008C1311"/>
    <w:rsid w:val="00900BB7"/>
    <w:rsid w:val="009B5B74"/>
    <w:rsid w:val="00A5752E"/>
    <w:rsid w:val="00A84354"/>
    <w:rsid w:val="00A956D7"/>
    <w:rsid w:val="00AC3568"/>
    <w:rsid w:val="00B01709"/>
    <w:rsid w:val="00B4216C"/>
    <w:rsid w:val="00B77249"/>
    <w:rsid w:val="00B7777C"/>
    <w:rsid w:val="00BE2E5F"/>
    <w:rsid w:val="00BE38A1"/>
    <w:rsid w:val="00BF739E"/>
    <w:rsid w:val="00C505C2"/>
    <w:rsid w:val="00C6487B"/>
    <w:rsid w:val="00C72477"/>
    <w:rsid w:val="00CC62E2"/>
    <w:rsid w:val="00CD26CB"/>
    <w:rsid w:val="00E04EA2"/>
    <w:rsid w:val="00E30071"/>
    <w:rsid w:val="00E7457D"/>
    <w:rsid w:val="00E74DE4"/>
    <w:rsid w:val="00EE6D8D"/>
    <w:rsid w:val="00F043F5"/>
    <w:rsid w:val="00F7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2728</Characters>
  <Application>Microsoft Office Word</Application>
  <DocSecurity>0</DocSecurity>
  <Lines>104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2020-07-21T14:10:00Z</cp:lastPrinted>
  <dcterms:created xsi:type="dcterms:W3CDTF">2020-07-21T17:25:00Z</dcterms:created>
  <dcterms:modified xsi:type="dcterms:W3CDTF">2020-07-21T17:25:00Z</dcterms:modified>
</cp:coreProperties>
</file>