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59320FF9" w:rsidR="00646BA3" w:rsidRPr="00D40A7E" w:rsidRDefault="00815424">
      <w:pPr>
        <w:rPr>
          <w:b/>
          <w:u w:val="single"/>
        </w:rPr>
      </w:pPr>
      <w:r>
        <w:rPr>
          <w:b/>
          <w:u w:val="single"/>
        </w:rPr>
        <w:t>UT Math 1920-193</w:t>
      </w:r>
      <w:bookmarkStart w:id="0" w:name="_GoBack"/>
      <w:bookmarkEnd w:id="0"/>
      <w:r w:rsidR="00413B8B">
        <w:rPr>
          <w:b/>
          <w:u w:val="single"/>
        </w:rPr>
        <w:t>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Calculus I</w:t>
      </w:r>
      <w:r w:rsidR="00413B8B">
        <w:rPr>
          <w:b/>
          <w:u w:val="single"/>
        </w:rPr>
        <w:t>&amp;II sequence – TMM 017</w:t>
      </w:r>
    </w:p>
    <w:p w14:paraId="3A39275A" w14:textId="2B3CAC6D"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from </w:t>
      </w:r>
      <w:proofErr w:type="spellStart"/>
      <w:r w:rsidR="00015006">
        <w:rPr>
          <w:rFonts w:ascii="Verdana" w:eastAsia="Times New Roman" w:hAnsi="Verdana" w:cs="Helvetica"/>
          <w:b/>
          <w:bCs/>
          <w:color w:val="000000"/>
          <w:sz w:val="18"/>
          <w:szCs w:val="18"/>
        </w:rPr>
        <w:t>Calc</w:t>
      </w:r>
      <w:proofErr w:type="spellEnd"/>
      <w:r w:rsidR="00015006">
        <w:rPr>
          <w:rFonts w:ascii="Verdana" w:eastAsia="Times New Roman" w:hAnsi="Verdana" w:cs="Helvetica"/>
          <w:b/>
          <w:bCs/>
          <w:color w:val="000000"/>
          <w:sz w:val="18"/>
          <w:szCs w:val="18"/>
        </w:rPr>
        <w:t xml:space="preserve"> I</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5DF23CB7" w14:textId="70BF3A79"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examine tables of sequential values and graphs of functions to analyze limiting behavior of functional values, including infinite limits and limits at infinity. Students determine whether limits exist and evaluate those limits by manipulating the algebraic expressions of functions.</w:t>
            </w:r>
          </w:p>
        </w:tc>
      </w:tr>
      <w:tr w:rsidR="001931DE" w:rsidRPr="00D40A7E" w14:paraId="303F620C" w14:textId="77777777" w:rsidTr="001931DE">
        <w:trPr>
          <w:tblCellSpacing w:w="15" w:type="dxa"/>
        </w:trPr>
        <w:tc>
          <w:tcPr>
            <w:tcW w:w="0" w:type="auto"/>
            <w:shd w:val="clear" w:color="auto" w:fill="EFEFEF"/>
            <w:hideMark/>
          </w:tcPr>
          <w:p w14:paraId="54503AC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5467E169" w14:textId="057BF666"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447F607F" w14:textId="77777777" w:rsidTr="001931DE">
        <w:trPr>
          <w:tblCellSpacing w:w="15" w:type="dxa"/>
        </w:trPr>
        <w:tc>
          <w:tcPr>
            <w:tcW w:w="0" w:type="auto"/>
            <w:hideMark/>
          </w:tcPr>
          <w:p w14:paraId="0AA1253A"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30338B9A" w14:textId="2F93F519" w:rsidR="001931DE" w:rsidRPr="00D40A7E" w:rsidRDefault="003A617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73526A6D" w14:textId="77777777" w:rsidTr="001931DE">
        <w:trPr>
          <w:tblCellSpacing w:w="15" w:type="dxa"/>
        </w:trPr>
        <w:tc>
          <w:tcPr>
            <w:tcW w:w="0" w:type="auto"/>
            <w:shd w:val="clear" w:color="auto" w:fill="EFEFEF"/>
            <w:hideMark/>
          </w:tcPr>
          <w:p w14:paraId="65A5C1E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67B70547" w14:textId="023CBFEA" w:rsidR="001931DE" w:rsidRPr="00D40A7E" w:rsidRDefault="005A2352"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combine the interpretation of derivative as slope and rate of change to study the second derivative as both a measure of concavity of the graph and of the acceleration of a physical quantity, </w:t>
            </w:r>
            <w:r>
              <w:rPr>
                <w:rFonts w:ascii="Courier" w:eastAsia="Times New Roman" w:hAnsi="Courier" w:cs="Courier New"/>
                <w:color w:val="000000"/>
                <w:sz w:val="21"/>
                <w:szCs w:val="21"/>
              </w:rPr>
              <w:lastRenderedPageBreak/>
              <w:t>such as a particle in motion. The student will apply Chain Rule and other rules of differentiation to implicitly defined quantities, including those involving geometric and physical relationships, to determine their relative rates of change and higher derivatives.</w:t>
            </w:r>
          </w:p>
        </w:tc>
      </w:tr>
      <w:tr w:rsidR="001931DE" w:rsidRPr="00D40A7E" w14:paraId="15E8FF7A" w14:textId="77777777" w:rsidTr="001931DE">
        <w:trPr>
          <w:tblCellSpacing w:w="15" w:type="dxa"/>
        </w:trPr>
        <w:tc>
          <w:tcPr>
            <w:tcW w:w="0" w:type="auto"/>
            <w:hideMark/>
          </w:tcPr>
          <w:p w14:paraId="3BC9DE8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absolute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or inflection points.  Appropriately use these techniques to solve optimization problems.</w:t>
            </w:r>
          </w:p>
        </w:tc>
        <w:tc>
          <w:tcPr>
            <w:tcW w:w="0" w:type="auto"/>
            <w:vAlign w:val="center"/>
            <w:hideMark/>
          </w:tcPr>
          <w:p w14:paraId="42C836BE" w14:textId="7C813550"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all of the concepts and techniques above to determine intervals of monotonicity, intervals of concavity, and interpret the transition points as local </w:t>
            </w:r>
            <w:proofErr w:type="spellStart"/>
            <w:r>
              <w:rPr>
                <w:rFonts w:ascii="Courier" w:eastAsia="Times New Roman" w:hAnsi="Courier" w:cs="Courier New"/>
                <w:color w:val="000000"/>
                <w:sz w:val="21"/>
                <w:szCs w:val="21"/>
              </w:rPr>
              <w:t>extrema</w:t>
            </w:r>
            <w:proofErr w:type="spellEnd"/>
            <w:r>
              <w:rPr>
                <w:rFonts w:ascii="Courier" w:eastAsia="Times New Roman" w:hAnsi="Courier" w:cs="Courier New"/>
                <w:color w:val="000000"/>
                <w:sz w:val="21"/>
                <w:szCs w:val="21"/>
              </w:rPr>
              <w:t xml:space="preserve"> or inflection points. Students will apply this method to sketch accurate graphs of functions, exhibiting all critical behavior; and to solve optimization problems, including those given in verbal form.</w:t>
            </w:r>
          </w:p>
        </w:tc>
      </w:tr>
      <w:tr w:rsidR="001931DE" w:rsidRPr="00D40A7E" w14:paraId="0B0DEB15" w14:textId="77777777" w:rsidTr="001931DE">
        <w:trPr>
          <w:tblCellSpacing w:w="15" w:type="dxa"/>
        </w:trPr>
        <w:tc>
          <w:tcPr>
            <w:tcW w:w="0" w:type="auto"/>
            <w:shd w:val="clear" w:color="auto" w:fill="EFEFEF"/>
            <w:hideMark/>
          </w:tcPr>
          <w:p w14:paraId="269DA6B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09127C1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when the Mean Value Theorem can be applied and use it in proofs of other theorems such as </w:t>
            </w:r>
            <w:proofErr w:type="spellStart"/>
            <w:r w:rsidRPr="00D40A7E">
              <w:rPr>
                <w:rFonts w:ascii="Courier" w:eastAsia="Times New Roman" w:hAnsi="Courier" w:cs="Courier New"/>
                <w:color w:val="000000"/>
                <w:sz w:val="21"/>
                <w:szCs w:val="21"/>
              </w:rPr>
              <w:t>L’Hopital’s</w:t>
            </w:r>
            <w:proofErr w:type="spellEnd"/>
            <w:r w:rsidRPr="00D40A7E">
              <w:rPr>
                <w:rFonts w:ascii="Courier" w:eastAsia="Times New Roman" w:hAnsi="Courier" w:cs="Courier New"/>
                <w:color w:val="000000"/>
                <w:sz w:val="21"/>
                <w:szCs w:val="21"/>
              </w:rPr>
              <w:t xml:space="preserve"> rule.</w:t>
            </w:r>
          </w:p>
        </w:tc>
        <w:tc>
          <w:tcPr>
            <w:tcW w:w="0" w:type="auto"/>
            <w:shd w:val="clear" w:color="auto" w:fill="EFEFEF"/>
            <w:vAlign w:val="center"/>
            <w:hideMark/>
          </w:tcPr>
          <w:p w14:paraId="252EAF75" w14:textId="00DC479E"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w:t>
            </w:r>
            <w:proofErr w:type="spellStart"/>
            <w:r>
              <w:rPr>
                <w:rFonts w:ascii="Courier" w:eastAsia="Times New Roman" w:hAnsi="Courier" w:cs="Courier New"/>
                <w:color w:val="000000"/>
                <w:sz w:val="21"/>
                <w:szCs w:val="21"/>
              </w:rPr>
              <w:t>L’Hospital’s</w:t>
            </w:r>
            <w:proofErr w:type="spellEnd"/>
            <w:r>
              <w:rPr>
                <w:rFonts w:ascii="Courier" w:eastAsia="Times New Roman" w:hAnsi="Courier" w:cs="Courier New"/>
                <w:color w:val="000000"/>
                <w:sz w:val="21"/>
                <w:szCs w:val="21"/>
              </w:rPr>
              <w:t xml:space="preserve"> rule to evaluate limits of quantities expressed in “indeterminate form”.</w:t>
            </w:r>
          </w:p>
        </w:tc>
      </w:tr>
      <w:tr w:rsidR="001931DE" w:rsidRPr="00D40A7E" w14:paraId="4F5CC1FD" w14:textId="77777777" w:rsidTr="001931DE">
        <w:trPr>
          <w:tblCellSpacing w:w="15" w:type="dxa"/>
        </w:trPr>
        <w:tc>
          <w:tcPr>
            <w:tcW w:w="0" w:type="auto"/>
            <w:hideMark/>
          </w:tcPr>
          <w:p w14:paraId="3000345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12E57BF3"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08D0DA8B" w14:textId="3A034964"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Usually covered in class and midterms but not a course objective and hence not required for the final exam.</w:t>
            </w:r>
          </w:p>
        </w:tc>
      </w:tr>
      <w:tr w:rsidR="001931DE" w:rsidRPr="00D40A7E" w14:paraId="51C2F383" w14:textId="77777777" w:rsidTr="001931DE">
        <w:trPr>
          <w:tblCellSpacing w:w="15" w:type="dxa"/>
        </w:trPr>
        <w:tc>
          <w:tcPr>
            <w:tcW w:w="0" w:type="auto"/>
            <w:shd w:val="clear" w:color="auto" w:fill="EFEFEF"/>
            <w:hideMark/>
          </w:tcPr>
          <w:p w14:paraId="348AE94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67EB29"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t>
            </w:r>
            <w:proofErr w:type="spellStart"/>
            <w:r w:rsidRPr="00D40A7E">
              <w:rPr>
                <w:rFonts w:ascii="Courier" w:eastAsia="Times New Roman" w:hAnsi="Courier" w:cs="Courier New"/>
                <w:color w:val="000000"/>
                <w:sz w:val="21"/>
                <w:szCs w:val="21"/>
              </w:rPr>
              <w:t>antiderivatives</w:t>
            </w:r>
            <w:proofErr w:type="spellEnd"/>
            <w:r w:rsidRPr="00D40A7E">
              <w:rPr>
                <w:rFonts w:ascii="Courier" w:eastAsia="Times New Roman" w:hAnsi="Courier" w:cs="Courier New"/>
                <w:color w:val="000000"/>
                <w:sz w:val="21"/>
                <w:szCs w:val="21"/>
              </w:rPr>
              <w:t xml:space="preserve">,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12B55678" w14:textId="3D18C64B" w:rsidR="001931DE" w:rsidRPr="00D40A7E" w:rsidRDefault="00FF40C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 xml:space="preserve">expression of the definite integral as the limit of Riemann sums. Students will study the inverse process of differentiation to develop the concept of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In particular students will use the Chain Rule in conjunction with this process to develop the method of substitution. Students will link the concepts of Riemann integral and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through the Fundamental Theorem of Calculus, and apply it to determine the areas of planar regions analytically.</w:t>
            </w:r>
          </w:p>
        </w:tc>
      </w:tr>
    </w:tbl>
    <w:p w14:paraId="3F04D217" w14:textId="77777777" w:rsidR="00D40A7E" w:rsidRDefault="00D40A7E"/>
    <w:p w14:paraId="36FC8C9B" w14:textId="77777777" w:rsidR="008C7D60" w:rsidRDefault="008C7D60"/>
    <w:p w14:paraId="11AADE65" w14:textId="77777777" w:rsidR="008C7D60" w:rsidRDefault="008C7D60"/>
    <w:p w14:paraId="63227220" w14:textId="77777777" w:rsidR="008C7D60" w:rsidRDefault="008C7D60"/>
    <w:p w14:paraId="3B8120A0" w14:textId="77777777" w:rsidR="008C7D60" w:rsidRDefault="008C7D60"/>
    <w:p w14:paraId="63CD5C49" w14:textId="77777777" w:rsidR="008C7D60" w:rsidRDefault="008C7D60"/>
    <w:p w14:paraId="585A4545" w14:textId="77777777" w:rsidR="008C7D60" w:rsidRDefault="008C7D60"/>
    <w:p w14:paraId="1A203F5C" w14:textId="77777777" w:rsidR="008C7D60" w:rsidRDefault="008C7D60"/>
    <w:p w14:paraId="622B7759" w14:textId="77777777" w:rsidR="008C7D60" w:rsidRDefault="008C7D60"/>
    <w:p w14:paraId="388E83C0" w14:textId="77777777" w:rsidR="008C7D60" w:rsidRDefault="008C7D60"/>
    <w:p w14:paraId="4E611E3D" w14:textId="77777777" w:rsidR="008C7D60" w:rsidRDefault="008C7D60"/>
    <w:p w14:paraId="7ED1DA8E" w14:textId="77777777" w:rsidR="008C7D60" w:rsidRDefault="008C7D60"/>
    <w:p w14:paraId="53BA75F7" w14:textId="77777777" w:rsidR="008C7D60" w:rsidRDefault="008C7D60"/>
    <w:p w14:paraId="334C72A7" w14:textId="77777777" w:rsidR="008C7D60" w:rsidRDefault="008C7D60"/>
    <w:p w14:paraId="16D7360E" w14:textId="77777777" w:rsidR="008C7D60" w:rsidRDefault="008C7D60"/>
    <w:p w14:paraId="59417234" w14:textId="77777777" w:rsidR="008C7D60" w:rsidRDefault="008C7D60"/>
    <w:p w14:paraId="3EC71ACB" w14:textId="77777777" w:rsidR="008C7D60" w:rsidRDefault="008C7D60"/>
    <w:p w14:paraId="775BB8C8" w14:textId="77777777" w:rsidR="008C7D60" w:rsidRDefault="008C7D60"/>
    <w:p w14:paraId="14CCC519" w14:textId="77777777" w:rsidR="008C7D60" w:rsidRDefault="008C7D60"/>
    <w:p w14:paraId="0EB20E0D" w14:textId="77777777" w:rsidR="00F17F4E" w:rsidRDefault="00F17F4E"/>
    <w:p w14:paraId="5FD1C484" w14:textId="77777777" w:rsidR="00F17F4E" w:rsidRDefault="00F17F4E"/>
    <w:p w14:paraId="2307E1C8" w14:textId="51AF9FE6" w:rsidR="008C7D60" w:rsidRPr="008C7D60" w:rsidRDefault="008C7D60" w:rsidP="008C7D60">
      <w:pPr>
        <w:shd w:val="clear" w:color="auto" w:fill="FFFFFF"/>
        <w:spacing w:after="0" w:line="240" w:lineRule="auto"/>
        <w:rPr>
          <w:rFonts w:ascii="Arial" w:eastAsia="Times New Roman" w:hAnsi="Arial" w:cs="Arial"/>
          <w:b/>
          <w:bCs/>
          <w:color w:val="000000"/>
          <w:sz w:val="18"/>
          <w:szCs w:val="18"/>
        </w:rPr>
      </w:pPr>
      <w:r w:rsidRPr="008C7D60">
        <w:rPr>
          <w:rFonts w:ascii="Arial" w:eastAsia="Times New Roman" w:hAnsi="Arial" w:cs="Arial"/>
          <w:b/>
          <w:bCs/>
          <w:color w:val="000000"/>
          <w:sz w:val="18"/>
          <w:szCs w:val="18"/>
        </w:rPr>
        <w:t>Learning Outcomes</w:t>
      </w:r>
      <w:r w:rsidR="00015006">
        <w:rPr>
          <w:rFonts w:ascii="Arial" w:eastAsia="Times New Roman" w:hAnsi="Arial" w:cs="Arial"/>
          <w:b/>
          <w:bCs/>
          <w:color w:val="000000"/>
          <w:sz w:val="18"/>
          <w:szCs w:val="18"/>
        </w:rPr>
        <w:t xml:space="preserve"> from </w:t>
      </w:r>
      <w:proofErr w:type="spellStart"/>
      <w:r w:rsidR="00015006">
        <w:rPr>
          <w:rFonts w:ascii="Arial" w:eastAsia="Times New Roman" w:hAnsi="Arial" w:cs="Arial"/>
          <w:b/>
          <w:bCs/>
          <w:color w:val="000000"/>
          <w:sz w:val="18"/>
          <w:szCs w:val="18"/>
        </w:rPr>
        <w:t>Calc</w:t>
      </w:r>
      <w:proofErr w:type="spellEnd"/>
      <w:r w:rsidR="00015006">
        <w:rPr>
          <w:rFonts w:ascii="Arial" w:eastAsia="Times New Roman" w:hAnsi="Arial" w:cs="Arial"/>
          <w:b/>
          <w:bCs/>
          <w:color w:val="000000"/>
          <w:sz w:val="18"/>
          <w:szCs w:val="18"/>
        </w:rPr>
        <w:t xml:space="preserve"> II</w:t>
      </w:r>
      <w:r w:rsidRPr="008C7D60">
        <w:rPr>
          <w:rFonts w:ascii="Arial" w:eastAsia="Times New Roman" w:hAnsi="Arial" w:cs="Arial"/>
          <w:b/>
          <w:bCs/>
          <w:color w:val="000000"/>
          <w:sz w:val="18"/>
          <w:szCs w:val="18"/>
        </w:rPr>
        <w:t>:</w:t>
      </w:r>
    </w:p>
    <w:p w14:paraId="006D871C"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413D633C"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04E4DB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5ABDA6D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38B635D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0B82A2F2" w14:textId="77777777" w:rsidTr="00F17F4E">
        <w:trPr>
          <w:tblCellSpacing w:w="15" w:type="dxa"/>
        </w:trPr>
        <w:tc>
          <w:tcPr>
            <w:tcW w:w="0" w:type="auto"/>
            <w:shd w:val="clear" w:color="auto" w:fill="FFFFFF"/>
            <w:tcMar>
              <w:top w:w="0" w:type="dxa"/>
              <w:left w:w="0" w:type="dxa"/>
              <w:bottom w:w="0" w:type="dxa"/>
              <w:right w:w="0" w:type="dxa"/>
            </w:tcMar>
            <w:hideMark/>
          </w:tcPr>
          <w:p w14:paraId="6B14C99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17877D8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3E86B4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Use </w:t>
            </w:r>
            <w:proofErr w:type="spellStart"/>
            <w:r w:rsidRPr="008C7D60">
              <w:rPr>
                <w:rFonts w:ascii="Courier" w:eastAsia="Times New Roman" w:hAnsi="Courier" w:cs="Courier New"/>
                <w:color w:val="000000"/>
                <w:sz w:val="21"/>
                <w:szCs w:val="21"/>
              </w:rPr>
              <w:t>antiderivatives</w:t>
            </w:r>
            <w:proofErr w:type="spellEnd"/>
            <w:r w:rsidRPr="008C7D60">
              <w:rPr>
                <w:rFonts w:ascii="Courier" w:eastAsia="Times New Roman" w:hAnsi="Courier" w:cs="Courier New"/>
                <w:color w:val="000000"/>
                <w:sz w:val="21"/>
                <w:szCs w:val="21"/>
              </w:rPr>
              <w:t xml:space="preserve">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46677F12" w14:textId="5B23D367" w:rsidR="00F17F4E" w:rsidRPr="008C7D60" w:rsidRDefault="00F227F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w:t>
            </w:r>
            <w:proofErr w:type="gramStart"/>
            <w:r w:rsidRPr="008C7D60">
              <w:rPr>
                <w:rFonts w:ascii="Courier" w:eastAsia="Times New Roman" w:hAnsi="Courier" w:cs="Courier New"/>
                <w:color w:val="000000"/>
                <w:sz w:val="21"/>
                <w:szCs w:val="21"/>
              </w:rPr>
              <w:t>formula which</w:t>
            </w:r>
            <w:proofErr w:type="gramEnd"/>
            <w:r w:rsidRPr="008C7D60">
              <w:rPr>
                <w:rFonts w:ascii="Courier" w:eastAsia="Times New Roman" w:hAnsi="Courier" w:cs="Courier New"/>
                <w:color w:val="000000"/>
                <w:sz w:val="21"/>
                <w:szCs w:val="21"/>
              </w:rPr>
              <w:t xml:space="preserve">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r w:rsidR="00F17F4E" w:rsidRPr="008C7D60">
              <w:rPr>
                <w:rFonts w:ascii="Courier" w:eastAsia="Times New Roman" w:hAnsi="Courier" w:cs="Courier New"/>
                <w:color w:val="000000"/>
                <w:sz w:val="21"/>
                <w:szCs w:val="21"/>
              </w:rPr>
              <w:t xml:space="preserve">  </w:t>
            </w:r>
          </w:p>
        </w:tc>
      </w:tr>
      <w:tr w:rsidR="00F17F4E" w:rsidRPr="008C7D60" w14:paraId="02E9DCA4" w14:textId="77777777" w:rsidTr="00F17F4E">
        <w:trPr>
          <w:tblCellSpacing w:w="15" w:type="dxa"/>
        </w:trPr>
        <w:tc>
          <w:tcPr>
            <w:tcW w:w="0" w:type="auto"/>
            <w:shd w:val="clear" w:color="auto" w:fill="EFEFEF"/>
            <w:tcMar>
              <w:top w:w="0" w:type="dxa"/>
              <w:left w:w="0" w:type="dxa"/>
              <w:bottom w:w="0" w:type="dxa"/>
              <w:right w:w="0" w:type="dxa"/>
            </w:tcMar>
            <w:hideMark/>
          </w:tcPr>
          <w:p w14:paraId="2DB1C36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7A13330"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Approximate a definite integral by the Trapezoidal Rule and </w:t>
            </w:r>
            <w:proofErr w:type="spellStart"/>
            <w:r w:rsidRPr="008C7D60">
              <w:rPr>
                <w:rFonts w:ascii="Courier" w:eastAsia="Times New Roman" w:hAnsi="Courier" w:cs="Courier New"/>
                <w:color w:val="000000"/>
                <w:sz w:val="21"/>
                <w:szCs w:val="21"/>
              </w:rPr>
              <w:t>Simpson¿s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1E356ED6" w14:textId="2C716030" w:rsidR="00F17F4E" w:rsidRPr="008C7D60" w:rsidRDefault="00F17F4E" w:rsidP="00F227F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F227F7">
              <w:rPr>
                <w:rFonts w:ascii="Courier" w:eastAsia="Times New Roman" w:hAnsi="Courier" w:cs="Courier New"/>
                <w:color w:val="000000"/>
                <w:sz w:val="21"/>
                <w:szCs w:val="21"/>
              </w:rPr>
              <w:t>.</w:t>
            </w:r>
          </w:p>
        </w:tc>
      </w:tr>
      <w:tr w:rsidR="00F17F4E" w:rsidRPr="008C7D60" w14:paraId="0DE4F48F" w14:textId="77777777" w:rsidTr="00F17F4E">
        <w:trPr>
          <w:tblCellSpacing w:w="15" w:type="dxa"/>
        </w:trPr>
        <w:tc>
          <w:tcPr>
            <w:tcW w:w="0" w:type="auto"/>
            <w:shd w:val="clear" w:color="auto" w:fill="FFFFFF"/>
            <w:tcMar>
              <w:top w:w="0" w:type="dxa"/>
              <w:left w:w="0" w:type="dxa"/>
              <w:bottom w:w="0" w:type="dxa"/>
              <w:right w:w="0" w:type="dxa"/>
            </w:tcMar>
            <w:hideMark/>
          </w:tcPr>
          <w:p w14:paraId="60C22B5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14055F15"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D1D7522"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5E235E49" w14:textId="6EE6FBD5" w:rsidR="00F17F4E" w:rsidRPr="008C7D60" w:rsidRDefault="00AB442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continue the analysis of the inverse process of differentiation,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to develop further techniques of integration including integration by parts from the product rule. Students will develop further integration techniques by </w:t>
            </w:r>
            <w:proofErr w:type="gramStart"/>
            <w:r>
              <w:rPr>
                <w:rFonts w:ascii="Courier" w:eastAsia="Times New Roman" w:hAnsi="Courier" w:cs="Courier New"/>
                <w:color w:val="000000"/>
                <w:sz w:val="21"/>
                <w:szCs w:val="21"/>
              </w:rPr>
              <w:t>combining  trigonometric</w:t>
            </w:r>
            <w:proofErr w:type="gramEnd"/>
            <w:r>
              <w:rPr>
                <w:rFonts w:ascii="Courier" w:eastAsia="Times New Roman" w:hAnsi="Courier" w:cs="Courier New"/>
                <w:color w:val="000000"/>
                <w:sz w:val="21"/>
                <w:szCs w:val="21"/>
              </w:rPr>
              <w:t xml:space="preserve"> identities with the method of substitution to obtain the </w:t>
            </w:r>
            <w:r>
              <w:rPr>
                <w:rFonts w:ascii="Courier" w:eastAsia="Times New Roman" w:hAnsi="Courier" w:cs="Courier New"/>
                <w:color w:val="000000"/>
                <w:sz w:val="21"/>
                <w:szCs w:val="21"/>
              </w:rPr>
              <w:lastRenderedPageBreak/>
              <w:t>technique of trigonometric substation; and by reversing the process of adding rational expressions by means of common denominators to obtain the technique of partial fractions.</w:t>
            </w:r>
          </w:p>
        </w:tc>
      </w:tr>
      <w:tr w:rsidR="00F17F4E" w:rsidRPr="008C7D60" w14:paraId="6BB8ACEF" w14:textId="77777777" w:rsidTr="00F17F4E">
        <w:trPr>
          <w:tblCellSpacing w:w="15" w:type="dxa"/>
        </w:trPr>
        <w:tc>
          <w:tcPr>
            <w:tcW w:w="0" w:type="auto"/>
            <w:shd w:val="clear" w:color="auto" w:fill="EFEFEF"/>
            <w:tcMar>
              <w:top w:w="0" w:type="dxa"/>
              <w:left w:w="0" w:type="dxa"/>
              <w:bottom w:w="0" w:type="dxa"/>
              <w:right w:w="0" w:type="dxa"/>
            </w:tcMar>
            <w:hideMark/>
          </w:tcPr>
          <w:p w14:paraId="2386C3D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04145AF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BF358C1" w14:textId="53A8BB16"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 includi</w:t>
            </w:r>
            <w:r w:rsidR="00286469">
              <w:rPr>
                <w:rFonts w:ascii="Courier" w:eastAsia="Times New Roman" w:hAnsi="Courier" w:cs="Courier New"/>
                <w:color w:val="000000"/>
                <w:sz w:val="21"/>
                <w:szCs w:val="21"/>
              </w:rPr>
              <w:t xml:space="preserve">ng the application of </w:t>
            </w:r>
            <w:proofErr w:type="spellStart"/>
            <w:r w:rsidR="00286469">
              <w:rPr>
                <w:rFonts w:ascii="Courier" w:eastAsia="Times New Roman" w:hAnsi="Courier" w:cs="Courier New"/>
                <w:color w:val="000000"/>
                <w:sz w:val="21"/>
                <w:szCs w:val="21"/>
              </w:rPr>
              <w:t>L’Hôpital’</w:t>
            </w:r>
            <w:r w:rsidRPr="008C7D60">
              <w:rPr>
                <w:rFonts w:ascii="Courier" w:eastAsia="Times New Roman" w:hAnsi="Courier" w:cs="Courier New"/>
                <w:color w:val="000000"/>
                <w:sz w:val="21"/>
                <w:szCs w:val="21"/>
              </w:rPr>
              <w:t>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61A0AA78" w14:textId="7AA13E7C" w:rsidR="00F17F4E" w:rsidRPr="008C7D60" w:rsidRDefault="00F9229A"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Pr="008C7D60">
              <w:rPr>
                <w:rFonts w:ascii="Courier" w:eastAsia="Times New Roman" w:hAnsi="Courier" w:cs="Courier New"/>
                <w:color w:val="000000"/>
                <w:sz w:val="21"/>
                <w:szCs w:val="21"/>
              </w:rPr>
              <w:t xml:space="preserve"> in </w:t>
            </w:r>
            <w:proofErr w:type="spellStart"/>
            <w:r w:rsidRPr="008C7D60">
              <w:rPr>
                <w:rFonts w:ascii="Courier" w:eastAsia="Times New Roman" w:hAnsi="Courier" w:cs="Courier New"/>
                <w:color w:val="000000"/>
                <w:sz w:val="21"/>
                <w:szCs w:val="21"/>
              </w:rPr>
              <w:t>Calc</w:t>
            </w:r>
            <w:proofErr w:type="spellEnd"/>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I</w:t>
            </w:r>
            <w:r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p>
        </w:tc>
      </w:tr>
      <w:tr w:rsidR="00F17F4E" w:rsidRPr="008C7D60" w14:paraId="70D8FD1D" w14:textId="77777777" w:rsidTr="00F17F4E">
        <w:trPr>
          <w:tblCellSpacing w:w="15" w:type="dxa"/>
        </w:trPr>
        <w:tc>
          <w:tcPr>
            <w:tcW w:w="0" w:type="auto"/>
            <w:shd w:val="clear" w:color="auto" w:fill="FFFFFF"/>
            <w:tcMar>
              <w:top w:w="0" w:type="dxa"/>
              <w:left w:w="0" w:type="dxa"/>
              <w:bottom w:w="0" w:type="dxa"/>
              <w:right w:w="0" w:type="dxa"/>
            </w:tcMar>
            <w:hideMark/>
          </w:tcPr>
          <w:p w14:paraId="26CF49E2"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79521CB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E24B2D5"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40ED761D" w14:textId="069FEF01" w:rsidR="00F17F4E" w:rsidRPr="008C7D60" w:rsidRDefault="005573C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apply the integration techniques above together with the limit concept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to evaluate improper integrals, including both those over infinite intervals and those with finite singularities.</w:t>
            </w:r>
          </w:p>
        </w:tc>
      </w:tr>
      <w:tr w:rsidR="00F17F4E" w:rsidRPr="008C7D60" w14:paraId="19EF8122" w14:textId="77777777" w:rsidTr="00F17F4E">
        <w:trPr>
          <w:tblCellSpacing w:w="15" w:type="dxa"/>
        </w:trPr>
        <w:tc>
          <w:tcPr>
            <w:tcW w:w="0" w:type="auto"/>
            <w:shd w:val="clear" w:color="auto" w:fill="EFEFEF"/>
            <w:tcMar>
              <w:top w:w="0" w:type="dxa"/>
              <w:left w:w="0" w:type="dxa"/>
              <w:bottom w:w="0" w:type="dxa"/>
              <w:right w:w="0" w:type="dxa"/>
            </w:tcMar>
            <w:hideMark/>
          </w:tcPr>
          <w:p w14:paraId="4F7345C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1448FA6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4EBBE93C" w14:textId="186A6852" w:rsidR="00F17F4E" w:rsidRPr="008C7D60" w:rsidRDefault="00B33A61"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F17F4E" w:rsidRPr="008C7D60" w14:paraId="515BBA4B" w14:textId="77777777" w:rsidTr="00F17F4E">
        <w:trPr>
          <w:tblCellSpacing w:w="15" w:type="dxa"/>
        </w:trPr>
        <w:tc>
          <w:tcPr>
            <w:tcW w:w="0" w:type="auto"/>
            <w:shd w:val="clear" w:color="auto" w:fill="FFFFFF"/>
            <w:tcMar>
              <w:top w:w="0" w:type="dxa"/>
              <w:left w:w="0" w:type="dxa"/>
              <w:bottom w:w="0" w:type="dxa"/>
              <w:right w:w="0" w:type="dxa"/>
            </w:tcMar>
            <w:hideMark/>
          </w:tcPr>
          <w:p w14:paraId="1439C32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06FF91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75CEF4"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63911EE9" w14:textId="449BC63A" w:rsidR="00F17F4E" w:rsidRPr="008C7D60" w:rsidRDefault="00BD5A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review the concept of sequential limit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and then use this to begin a study of infinite series. Students will study the geometric series and obtain a closed form for its partial sums then evaluate the infinite sum by computing the limit of its partial sums. In particular students will learn the </w:t>
            </w:r>
            <w:proofErr w:type="gramStart"/>
            <w:r>
              <w:rPr>
                <w:rFonts w:ascii="Courier" w:eastAsia="Times New Roman" w:hAnsi="Courier" w:cs="Courier New"/>
                <w:color w:val="000000"/>
                <w:sz w:val="21"/>
                <w:szCs w:val="21"/>
              </w:rPr>
              <w:t>conditions which</w:t>
            </w:r>
            <w:proofErr w:type="gramEnd"/>
            <w:r>
              <w:rPr>
                <w:rFonts w:ascii="Courier" w:eastAsia="Times New Roman" w:hAnsi="Courier" w:cs="Courier New"/>
                <w:color w:val="000000"/>
                <w:sz w:val="21"/>
                <w:szCs w:val="21"/>
              </w:rPr>
              <w:t xml:space="preserve"> imply convergence or divergence. Students will study further explicit examples, including the harmonic series, and use these to distinguish between absolute and conditional </w:t>
            </w:r>
            <w:r>
              <w:rPr>
                <w:rFonts w:ascii="Courier" w:eastAsia="Times New Roman" w:hAnsi="Courier" w:cs="Courier New"/>
                <w:color w:val="000000"/>
                <w:sz w:val="21"/>
                <w:szCs w:val="21"/>
              </w:rPr>
              <w:lastRenderedPageBreak/>
              <w:t>convergence. Students will apply the explicit analysis of geometric series together with the comparison test to develop and apply further tests for convergence, including the ratio and root tests. Students will combine the comparison tests together with the concept of Riemann sum and the techniques of indefinite integral to derive the integral test for convergence of a series.</w:t>
            </w:r>
          </w:p>
        </w:tc>
      </w:tr>
      <w:tr w:rsidR="00F17F4E" w:rsidRPr="008C7D60" w14:paraId="08FCFF10" w14:textId="77777777" w:rsidTr="00F17F4E">
        <w:trPr>
          <w:tblCellSpacing w:w="15" w:type="dxa"/>
        </w:trPr>
        <w:tc>
          <w:tcPr>
            <w:tcW w:w="0" w:type="auto"/>
            <w:shd w:val="clear" w:color="auto" w:fill="EFEFEF"/>
            <w:tcMar>
              <w:top w:w="0" w:type="dxa"/>
              <w:left w:w="0" w:type="dxa"/>
              <w:bottom w:w="0" w:type="dxa"/>
              <w:right w:w="0" w:type="dxa"/>
            </w:tcMar>
            <w:hideMark/>
          </w:tcPr>
          <w:p w14:paraId="4706AD6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8</w:t>
            </w:r>
          </w:p>
        </w:tc>
        <w:tc>
          <w:tcPr>
            <w:tcW w:w="0" w:type="auto"/>
            <w:shd w:val="clear" w:color="auto" w:fill="EFEFEF"/>
            <w:tcMar>
              <w:top w:w="0" w:type="dxa"/>
              <w:left w:w="0" w:type="dxa"/>
              <w:bottom w:w="0" w:type="dxa"/>
              <w:right w:w="0" w:type="dxa"/>
            </w:tcMar>
            <w:hideMark/>
          </w:tcPr>
          <w:p w14:paraId="66383B29"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6428AC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11D3E4CB" w14:textId="4A24A412" w:rsidR="00F17F4E" w:rsidRPr="008C7D60" w:rsidRDefault="00C42EA5"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 xml:space="preserve">to derive the Taylor, </w:t>
            </w:r>
            <w:proofErr w:type="spellStart"/>
            <w:r>
              <w:rPr>
                <w:rFonts w:ascii="Courier" w:eastAsia="Times New Roman" w:hAnsi="Courier" w:cs="Courier New"/>
                <w:color w:val="000000"/>
                <w:sz w:val="21"/>
                <w:szCs w:val="21"/>
              </w:rPr>
              <w:t>Maclaurin</w:t>
            </w:r>
            <w:proofErr w:type="spellEnd"/>
            <w:r>
              <w:rPr>
                <w:rFonts w:ascii="Courier" w:eastAsia="Times New Roman" w:hAnsi="Courier" w:cs="Courier New"/>
                <w:color w:val="000000"/>
                <w:sz w:val="21"/>
                <w:szCs w:val="21"/>
              </w:rPr>
              <w:t>, and binomial formulas; and to develop power series representations of familiar functions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such as logarithmic and inverse trigonometric functions Students will employ the concepts and techniques for general series (above) determine intervals of convergence.</w:t>
            </w:r>
          </w:p>
        </w:tc>
      </w:tr>
      <w:tr w:rsidR="00F17F4E" w:rsidRPr="008C7D60" w14:paraId="5948B1E2" w14:textId="77777777" w:rsidTr="00F17F4E">
        <w:trPr>
          <w:tblCellSpacing w:w="15" w:type="dxa"/>
        </w:trPr>
        <w:tc>
          <w:tcPr>
            <w:tcW w:w="0" w:type="auto"/>
            <w:shd w:val="clear" w:color="auto" w:fill="FFFFFF"/>
            <w:tcMar>
              <w:top w:w="0" w:type="dxa"/>
              <w:left w:w="0" w:type="dxa"/>
              <w:bottom w:w="0" w:type="dxa"/>
              <w:right w:w="0" w:type="dxa"/>
            </w:tcMar>
            <w:hideMark/>
          </w:tcPr>
          <w:p w14:paraId="6CD1CEF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47FCF4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E3703D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2F9A9B68" w14:textId="14FA08DD" w:rsidR="00F17F4E" w:rsidRPr="008C7D60" w:rsidRDefault="00DA0DA9"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6DFAE2C6" w14:textId="77777777" w:rsidTr="00F17F4E">
        <w:trPr>
          <w:tblCellSpacing w:w="15" w:type="dxa"/>
        </w:trPr>
        <w:tc>
          <w:tcPr>
            <w:tcW w:w="0" w:type="auto"/>
            <w:shd w:val="clear" w:color="auto" w:fill="EFEFEF"/>
            <w:tcMar>
              <w:top w:w="0" w:type="dxa"/>
              <w:left w:w="0" w:type="dxa"/>
              <w:bottom w:w="0" w:type="dxa"/>
              <w:right w:w="0" w:type="dxa"/>
            </w:tcMar>
            <w:hideMark/>
          </w:tcPr>
          <w:p w14:paraId="54DD016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3D8C49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49E4EA3C" w14:textId="37079DF6" w:rsidR="00F17F4E" w:rsidRPr="008C7D60" w:rsidRDefault="00C122F4"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study three-dimensional coordinate systems, with a focus on linear equations in 2 or more variables, including parametric equations. Students will interpret linear equations as dot products in </w:t>
            </w:r>
            <w:r>
              <w:rPr>
                <w:rFonts w:ascii="Courier" w:eastAsia="Times New Roman" w:hAnsi="Courier" w:cs="Courier New"/>
                <w:color w:val="000000"/>
                <w:sz w:val="21"/>
                <w:szCs w:val="21"/>
              </w:rPr>
              <w:lastRenderedPageBreak/>
              <w:t>a vector representation. Students will study the geometry of the dot and cross products using trigonometry and then will apply the geometry of these operations in physical situations, including force and velocity.</w:t>
            </w:r>
          </w:p>
        </w:tc>
      </w:tr>
      <w:tr w:rsidR="00F17F4E" w:rsidRPr="008C7D60" w14:paraId="4E3734F0" w14:textId="77777777" w:rsidTr="00F17F4E">
        <w:trPr>
          <w:tblCellSpacing w:w="15" w:type="dxa"/>
        </w:trPr>
        <w:tc>
          <w:tcPr>
            <w:tcW w:w="0" w:type="auto"/>
            <w:shd w:val="clear" w:color="auto" w:fill="FFFFFF"/>
            <w:tcMar>
              <w:top w:w="0" w:type="dxa"/>
              <w:left w:w="0" w:type="dxa"/>
              <w:bottom w:w="0" w:type="dxa"/>
              <w:right w:w="0" w:type="dxa"/>
            </w:tcMar>
            <w:hideMark/>
          </w:tcPr>
          <w:p w14:paraId="4CDAC41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11</w:t>
            </w:r>
          </w:p>
        </w:tc>
        <w:tc>
          <w:tcPr>
            <w:tcW w:w="0" w:type="auto"/>
            <w:shd w:val="clear" w:color="auto" w:fill="FFFFFF"/>
            <w:tcMar>
              <w:top w:w="0" w:type="dxa"/>
              <w:left w:w="0" w:type="dxa"/>
              <w:bottom w:w="0" w:type="dxa"/>
              <w:right w:w="0" w:type="dxa"/>
            </w:tcMar>
            <w:hideMark/>
          </w:tcPr>
          <w:p w14:paraId="7FA23B83" w14:textId="4CBB6172"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286469">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0DD20C86" w14:textId="4DB7255C" w:rsidR="00F17F4E" w:rsidRPr="008C7D60" w:rsidRDefault="000B286D"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36F6C73C" w14:textId="77777777" w:rsidR="008C7D60" w:rsidRDefault="008C7D60"/>
    <w:p w14:paraId="34461FCA"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5006"/>
    <w:rsid w:val="000B286D"/>
    <w:rsid w:val="001931DE"/>
    <w:rsid w:val="00286469"/>
    <w:rsid w:val="003A6173"/>
    <w:rsid w:val="003C08B5"/>
    <w:rsid w:val="00413B8B"/>
    <w:rsid w:val="005573C8"/>
    <w:rsid w:val="005A2352"/>
    <w:rsid w:val="00646BA3"/>
    <w:rsid w:val="006C72EE"/>
    <w:rsid w:val="00815424"/>
    <w:rsid w:val="008C7D60"/>
    <w:rsid w:val="008F3CF8"/>
    <w:rsid w:val="00A25E55"/>
    <w:rsid w:val="00AB4427"/>
    <w:rsid w:val="00AD686F"/>
    <w:rsid w:val="00B33A61"/>
    <w:rsid w:val="00BD5A9E"/>
    <w:rsid w:val="00C122F4"/>
    <w:rsid w:val="00C42EA5"/>
    <w:rsid w:val="00D40A7E"/>
    <w:rsid w:val="00DA0DA9"/>
    <w:rsid w:val="00F17F4E"/>
    <w:rsid w:val="00F227F7"/>
    <w:rsid w:val="00F9229A"/>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2</cp:revision>
  <dcterms:created xsi:type="dcterms:W3CDTF">2013-06-25T20:11:00Z</dcterms:created>
  <dcterms:modified xsi:type="dcterms:W3CDTF">2013-06-25T20:11:00Z</dcterms:modified>
</cp:coreProperties>
</file>