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FA615" w14:textId="77777777" w:rsidR="00641480" w:rsidRPr="00962A3F" w:rsidRDefault="00641480">
      <w:pPr>
        <w:pStyle w:val="BodyText"/>
        <w:spacing w:before="9"/>
        <w:rPr>
          <w:rFonts w:ascii="Source Sans Pro" w:hAnsi="Source Sans Pro"/>
          <w:sz w:val="18"/>
        </w:rPr>
      </w:pPr>
    </w:p>
    <w:p w14:paraId="14BFA616" w14:textId="3016188F" w:rsidR="00641480" w:rsidRPr="00962A3F" w:rsidRDefault="00BE2CD7" w:rsidP="00BE2CD7">
      <w:pPr>
        <w:pStyle w:val="BodyText"/>
        <w:ind w:left="140"/>
        <w:jc w:val="center"/>
        <w:rPr>
          <w:rFonts w:ascii="Source Sans Pro" w:hAnsi="Source Sans Pro"/>
          <w:sz w:val="20"/>
        </w:rPr>
      </w:pPr>
      <w:r w:rsidRPr="00962A3F">
        <w:rPr>
          <w:rFonts w:ascii="Source Sans Pro" w:hAnsi="Source Sans Pro"/>
          <w:noProof/>
        </w:rPr>
        <w:drawing>
          <wp:inline distT="0" distB="0" distL="0" distR="0" wp14:anchorId="00D0FA6B" wp14:editId="5AB9009C">
            <wp:extent cx="1956816" cy="7863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6816" cy="786384"/>
                    </a:xfrm>
                    <a:prstGeom prst="rect">
                      <a:avLst/>
                    </a:prstGeom>
                    <a:noFill/>
                    <a:ln>
                      <a:noFill/>
                    </a:ln>
                  </pic:spPr>
                </pic:pic>
              </a:graphicData>
            </a:graphic>
          </wp:inline>
        </w:drawing>
      </w:r>
    </w:p>
    <w:p w14:paraId="14BFA617" w14:textId="77777777" w:rsidR="00641480" w:rsidRPr="00962A3F" w:rsidRDefault="00641480">
      <w:pPr>
        <w:pStyle w:val="BodyText"/>
        <w:rPr>
          <w:rFonts w:ascii="Source Sans Pro" w:hAnsi="Source Sans Pro"/>
          <w:sz w:val="20"/>
        </w:rPr>
      </w:pPr>
    </w:p>
    <w:p w14:paraId="14BFA618" w14:textId="77777777" w:rsidR="00641480" w:rsidRPr="00962A3F" w:rsidRDefault="00641480">
      <w:pPr>
        <w:pStyle w:val="BodyText"/>
        <w:rPr>
          <w:rFonts w:ascii="Source Sans Pro" w:hAnsi="Source Sans Pro"/>
          <w:sz w:val="20"/>
        </w:rPr>
      </w:pPr>
    </w:p>
    <w:p w14:paraId="14BFA619" w14:textId="77777777" w:rsidR="00641480" w:rsidRPr="00962A3F" w:rsidRDefault="00641480">
      <w:pPr>
        <w:pStyle w:val="BodyText"/>
        <w:rPr>
          <w:rFonts w:ascii="Source Sans Pro" w:hAnsi="Source Sans Pro"/>
          <w:sz w:val="20"/>
        </w:rPr>
      </w:pPr>
    </w:p>
    <w:p w14:paraId="14BFA61A" w14:textId="77777777" w:rsidR="00641480" w:rsidRPr="00962A3F" w:rsidRDefault="00641480">
      <w:pPr>
        <w:pStyle w:val="BodyText"/>
        <w:rPr>
          <w:rFonts w:ascii="Source Sans Pro" w:hAnsi="Source Sans Pro"/>
          <w:sz w:val="20"/>
        </w:rPr>
      </w:pPr>
    </w:p>
    <w:p w14:paraId="14BFA61B" w14:textId="77777777" w:rsidR="00641480" w:rsidRPr="00962A3F" w:rsidRDefault="00AE6573" w:rsidP="00F30C3B">
      <w:pPr>
        <w:spacing w:before="172"/>
        <w:rPr>
          <w:rFonts w:ascii="Source Sans Pro" w:hAnsi="Source Sans Pro"/>
          <w:sz w:val="36"/>
        </w:rPr>
      </w:pPr>
      <w:r w:rsidRPr="00962A3F">
        <w:rPr>
          <w:rFonts w:ascii="Source Sans Pro" w:hAnsi="Source Sans Pro"/>
          <w:sz w:val="36"/>
        </w:rPr>
        <w:t>R</w:t>
      </w:r>
      <w:r w:rsidRPr="00962A3F">
        <w:rPr>
          <w:rFonts w:ascii="Source Sans Pro" w:hAnsi="Source Sans Pro"/>
          <w:sz w:val="29"/>
        </w:rPr>
        <w:t>EPORT TO</w:t>
      </w:r>
      <w:r w:rsidRPr="00962A3F">
        <w:rPr>
          <w:rFonts w:ascii="Source Sans Pro" w:hAnsi="Source Sans Pro"/>
          <w:sz w:val="36"/>
        </w:rPr>
        <w:t>:</w:t>
      </w:r>
    </w:p>
    <w:p w14:paraId="14BFA61C" w14:textId="77777777" w:rsidR="00641480" w:rsidRPr="00962A3F" w:rsidRDefault="00641480" w:rsidP="00F30C3B">
      <w:pPr>
        <w:pStyle w:val="BodyText"/>
        <w:spacing w:before="3"/>
        <w:rPr>
          <w:rFonts w:ascii="Source Sans Pro" w:hAnsi="Source Sans Pro"/>
          <w:sz w:val="36"/>
        </w:rPr>
      </w:pPr>
    </w:p>
    <w:p w14:paraId="14BFA61D" w14:textId="77777777" w:rsidR="00641480" w:rsidRPr="00962A3F" w:rsidRDefault="00AE6573" w:rsidP="00F30C3B">
      <w:pPr>
        <w:rPr>
          <w:rFonts w:ascii="Source Sans Pro" w:hAnsi="Source Sans Pro"/>
          <w:sz w:val="29"/>
        </w:rPr>
      </w:pPr>
      <w:r w:rsidRPr="00962A3F">
        <w:rPr>
          <w:rFonts w:ascii="Source Sans Pro" w:hAnsi="Source Sans Pro"/>
          <w:sz w:val="36"/>
        </w:rPr>
        <w:t>J</w:t>
      </w:r>
      <w:r w:rsidRPr="00962A3F">
        <w:rPr>
          <w:rFonts w:ascii="Source Sans Pro" w:hAnsi="Source Sans Pro"/>
          <w:sz w:val="29"/>
        </w:rPr>
        <w:t xml:space="preserve">ENNIFER </w:t>
      </w:r>
      <w:r w:rsidRPr="00962A3F">
        <w:rPr>
          <w:rFonts w:ascii="Source Sans Pro" w:hAnsi="Source Sans Pro"/>
          <w:sz w:val="36"/>
        </w:rPr>
        <w:t>B. M</w:t>
      </w:r>
      <w:r w:rsidRPr="00962A3F">
        <w:rPr>
          <w:rFonts w:ascii="Source Sans Pro" w:hAnsi="Source Sans Pro"/>
          <w:sz w:val="29"/>
        </w:rPr>
        <w:t>ORRISON</w:t>
      </w:r>
      <w:r w:rsidRPr="00962A3F">
        <w:rPr>
          <w:rFonts w:ascii="Source Sans Pro" w:hAnsi="Source Sans Pro"/>
          <w:sz w:val="36"/>
        </w:rPr>
        <w:t>, A</w:t>
      </w:r>
      <w:r w:rsidRPr="00962A3F">
        <w:rPr>
          <w:rFonts w:ascii="Source Sans Pro" w:hAnsi="Source Sans Pro"/>
          <w:sz w:val="29"/>
        </w:rPr>
        <w:t xml:space="preserve">SSOCIATE </w:t>
      </w:r>
      <w:r w:rsidRPr="00962A3F">
        <w:rPr>
          <w:rFonts w:ascii="Source Sans Pro" w:hAnsi="Source Sans Pro"/>
          <w:sz w:val="36"/>
        </w:rPr>
        <w:t>C</w:t>
      </w:r>
      <w:r w:rsidRPr="00962A3F">
        <w:rPr>
          <w:rFonts w:ascii="Source Sans Pro" w:hAnsi="Source Sans Pro"/>
          <w:sz w:val="29"/>
        </w:rPr>
        <w:t>ONTROLLER</w:t>
      </w:r>
    </w:p>
    <w:p w14:paraId="14BFA61E" w14:textId="77777777" w:rsidR="00641480" w:rsidRPr="00962A3F" w:rsidRDefault="00641480">
      <w:pPr>
        <w:pStyle w:val="BodyText"/>
        <w:rPr>
          <w:rFonts w:ascii="Source Sans Pro" w:hAnsi="Source Sans Pro"/>
          <w:sz w:val="36"/>
        </w:rPr>
      </w:pPr>
    </w:p>
    <w:p w14:paraId="14BFA61F" w14:textId="77777777" w:rsidR="00641480" w:rsidRPr="00962A3F" w:rsidRDefault="00641480">
      <w:pPr>
        <w:pStyle w:val="BodyText"/>
        <w:rPr>
          <w:rFonts w:ascii="Source Sans Pro" w:hAnsi="Source Sans Pro"/>
          <w:sz w:val="36"/>
        </w:rPr>
      </w:pPr>
    </w:p>
    <w:p w14:paraId="14BFA620" w14:textId="77777777" w:rsidR="00641480" w:rsidRPr="00962A3F" w:rsidRDefault="00641480">
      <w:pPr>
        <w:pStyle w:val="BodyText"/>
        <w:rPr>
          <w:rFonts w:ascii="Source Sans Pro" w:hAnsi="Source Sans Pro"/>
          <w:sz w:val="36"/>
        </w:rPr>
      </w:pPr>
    </w:p>
    <w:p w14:paraId="14BFA621" w14:textId="77777777" w:rsidR="00641480" w:rsidRPr="00962A3F" w:rsidRDefault="00641480">
      <w:pPr>
        <w:pStyle w:val="BodyText"/>
        <w:rPr>
          <w:rFonts w:ascii="Source Sans Pro" w:hAnsi="Source Sans Pro"/>
          <w:sz w:val="36"/>
        </w:rPr>
      </w:pPr>
    </w:p>
    <w:p w14:paraId="14BFA622" w14:textId="77777777" w:rsidR="00641480" w:rsidRPr="00962A3F" w:rsidRDefault="00641480">
      <w:pPr>
        <w:pStyle w:val="BodyText"/>
        <w:rPr>
          <w:rFonts w:ascii="Source Sans Pro" w:hAnsi="Source Sans Pro"/>
          <w:sz w:val="36"/>
        </w:rPr>
      </w:pPr>
    </w:p>
    <w:p w14:paraId="14BFA623" w14:textId="77777777" w:rsidR="00641480" w:rsidRPr="00962A3F" w:rsidRDefault="00641480">
      <w:pPr>
        <w:pStyle w:val="BodyText"/>
        <w:rPr>
          <w:rFonts w:ascii="Source Sans Pro" w:hAnsi="Source Sans Pro"/>
          <w:sz w:val="36"/>
        </w:rPr>
      </w:pPr>
    </w:p>
    <w:p w14:paraId="14BFA624" w14:textId="77777777" w:rsidR="00641480" w:rsidRPr="00962A3F" w:rsidRDefault="00641480">
      <w:pPr>
        <w:pStyle w:val="BodyText"/>
        <w:rPr>
          <w:rFonts w:ascii="Source Sans Pro" w:hAnsi="Source Sans Pro"/>
          <w:sz w:val="36"/>
        </w:rPr>
      </w:pPr>
    </w:p>
    <w:p w14:paraId="14BFA625" w14:textId="1A24F6B2" w:rsidR="00641480" w:rsidRDefault="00641480">
      <w:pPr>
        <w:pStyle w:val="BodyText"/>
        <w:rPr>
          <w:rFonts w:ascii="Source Sans Pro" w:hAnsi="Source Sans Pro"/>
          <w:sz w:val="36"/>
        </w:rPr>
      </w:pPr>
    </w:p>
    <w:p w14:paraId="74FD99B2" w14:textId="77777777" w:rsidR="00C53835" w:rsidRPr="00962A3F" w:rsidRDefault="00C53835">
      <w:pPr>
        <w:pStyle w:val="BodyText"/>
        <w:rPr>
          <w:rFonts w:ascii="Source Sans Pro" w:hAnsi="Source Sans Pro"/>
          <w:sz w:val="36"/>
        </w:rPr>
      </w:pPr>
    </w:p>
    <w:p w14:paraId="14BFA626" w14:textId="77777777" w:rsidR="00641480" w:rsidRPr="00962A3F" w:rsidRDefault="00641480">
      <w:pPr>
        <w:pStyle w:val="BodyText"/>
        <w:rPr>
          <w:rFonts w:ascii="Source Sans Pro" w:hAnsi="Source Sans Pro"/>
          <w:sz w:val="36"/>
        </w:rPr>
      </w:pPr>
    </w:p>
    <w:p w14:paraId="14BFA627" w14:textId="77777777" w:rsidR="00641480" w:rsidRPr="00962A3F" w:rsidRDefault="00641480">
      <w:pPr>
        <w:pStyle w:val="BodyText"/>
        <w:rPr>
          <w:rFonts w:ascii="Source Sans Pro" w:hAnsi="Source Sans Pro"/>
          <w:sz w:val="36"/>
        </w:rPr>
      </w:pPr>
    </w:p>
    <w:p w14:paraId="14BFA628" w14:textId="77777777" w:rsidR="00641480" w:rsidRPr="00962A3F" w:rsidRDefault="00641480">
      <w:pPr>
        <w:pStyle w:val="BodyText"/>
        <w:rPr>
          <w:rFonts w:ascii="Source Sans Pro" w:hAnsi="Source Sans Pro"/>
          <w:sz w:val="36"/>
        </w:rPr>
      </w:pPr>
    </w:p>
    <w:p w14:paraId="14BFA629" w14:textId="77777777" w:rsidR="00641480" w:rsidRPr="00962A3F" w:rsidRDefault="00641480">
      <w:pPr>
        <w:pStyle w:val="BodyText"/>
        <w:rPr>
          <w:rFonts w:ascii="Source Sans Pro" w:hAnsi="Source Sans Pro"/>
          <w:sz w:val="48"/>
        </w:rPr>
      </w:pPr>
    </w:p>
    <w:p w14:paraId="14BFA62A" w14:textId="77777777" w:rsidR="00641480" w:rsidRPr="00962A3F" w:rsidRDefault="00AE6573" w:rsidP="00F30C3B">
      <w:pPr>
        <w:rPr>
          <w:rFonts w:ascii="Source Sans Pro" w:hAnsi="Source Sans Pro"/>
          <w:b/>
          <w:sz w:val="35"/>
        </w:rPr>
      </w:pPr>
      <w:r w:rsidRPr="00962A3F">
        <w:rPr>
          <w:rFonts w:ascii="Source Sans Pro" w:hAnsi="Source Sans Pro"/>
          <w:b/>
          <w:sz w:val="44"/>
        </w:rPr>
        <w:t>A</w:t>
      </w:r>
      <w:r w:rsidRPr="00962A3F">
        <w:rPr>
          <w:rFonts w:ascii="Source Sans Pro" w:hAnsi="Source Sans Pro"/>
          <w:b/>
          <w:sz w:val="35"/>
        </w:rPr>
        <w:t xml:space="preserve">UDIT OF </w:t>
      </w:r>
      <w:r w:rsidRPr="00962A3F">
        <w:rPr>
          <w:rFonts w:ascii="Source Sans Pro" w:hAnsi="Source Sans Pro"/>
          <w:b/>
          <w:sz w:val="44"/>
        </w:rPr>
        <w:t>H</w:t>
      </w:r>
      <w:r w:rsidRPr="00962A3F">
        <w:rPr>
          <w:rFonts w:ascii="Source Sans Pro" w:hAnsi="Source Sans Pro"/>
          <w:b/>
          <w:sz w:val="35"/>
        </w:rPr>
        <w:t xml:space="preserve">EALTH </w:t>
      </w:r>
      <w:r w:rsidRPr="00962A3F">
        <w:rPr>
          <w:rFonts w:ascii="Source Sans Pro" w:hAnsi="Source Sans Pro"/>
          <w:b/>
          <w:sz w:val="44"/>
        </w:rPr>
        <w:t>S</w:t>
      </w:r>
      <w:r w:rsidRPr="00962A3F">
        <w:rPr>
          <w:rFonts w:ascii="Source Sans Pro" w:hAnsi="Source Sans Pro"/>
          <w:b/>
          <w:sz w:val="35"/>
        </w:rPr>
        <w:t xml:space="preserve">ERVICES </w:t>
      </w:r>
      <w:r w:rsidRPr="00962A3F">
        <w:rPr>
          <w:rFonts w:ascii="Source Sans Pro" w:hAnsi="Source Sans Pro"/>
          <w:b/>
          <w:sz w:val="44"/>
        </w:rPr>
        <w:t>A</w:t>
      </w:r>
      <w:r w:rsidRPr="00962A3F">
        <w:rPr>
          <w:rFonts w:ascii="Source Sans Pro" w:hAnsi="Source Sans Pro"/>
          <w:b/>
          <w:sz w:val="35"/>
        </w:rPr>
        <w:t>CCOUNTING</w:t>
      </w:r>
    </w:p>
    <w:p w14:paraId="14BFA62B" w14:textId="77777777" w:rsidR="00641480" w:rsidRPr="00962A3F" w:rsidRDefault="00641480" w:rsidP="00F30C3B">
      <w:pPr>
        <w:pStyle w:val="BodyText"/>
        <w:rPr>
          <w:rFonts w:ascii="Source Sans Pro" w:hAnsi="Source Sans Pro"/>
          <w:b/>
          <w:sz w:val="44"/>
        </w:rPr>
      </w:pPr>
    </w:p>
    <w:p w14:paraId="14BFA62C" w14:textId="77777777" w:rsidR="00641480" w:rsidRPr="00962A3F" w:rsidRDefault="00641480" w:rsidP="00F30C3B">
      <w:pPr>
        <w:pStyle w:val="BodyText"/>
        <w:spacing w:before="12"/>
        <w:rPr>
          <w:rFonts w:ascii="Source Sans Pro" w:hAnsi="Source Sans Pro"/>
          <w:b/>
          <w:sz w:val="63"/>
        </w:rPr>
      </w:pPr>
    </w:p>
    <w:p w14:paraId="4934EF54" w14:textId="21F4C66C" w:rsidR="00D15D2E" w:rsidRDefault="00AE6573" w:rsidP="00F30C3B">
      <w:pPr>
        <w:ind w:right="10"/>
        <w:rPr>
          <w:rFonts w:ascii="Source Sans Pro" w:hAnsi="Source Sans Pro"/>
          <w:sz w:val="29"/>
        </w:rPr>
      </w:pPr>
      <w:r w:rsidRPr="00962A3F">
        <w:rPr>
          <w:rFonts w:ascii="Source Sans Pro" w:hAnsi="Source Sans Pro"/>
          <w:sz w:val="36"/>
        </w:rPr>
        <w:t>I</w:t>
      </w:r>
      <w:r w:rsidRPr="00962A3F">
        <w:rPr>
          <w:rFonts w:ascii="Source Sans Pro" w:hAnsi="Source Sans Pro"/>
          <w:sz w:val="29"/>
        </w:rPr>
        <w:t xml:space="preserve">SSUED BY </w:t>
      </w:r>
      <w:r w:rsidRPr="00962A3F">
        <w:rPr>
          <w:rFonts w:ascii="Source Sans Pro" w:hAnsi="Source Sans Pro"/>
          <w:sz w:val="36"/>
        </w:rPr>
        <w:t>I</w:t>
      </w:r>
      <w:r w:rsidRPr="00962A3F">
        <w:rPr>
          <w:rFonts w:ascii="Source Sans Pro" w:hAnsi="Source Sans Pro"/>
          <w:sz w:val="29"/>
        </w:rPr>
        <w:t xml:space="preserve">NTERNAL </w:t>
      </w:r>
      <w:r w:rsidRPr="00962A3F">
        <w:rPr>
          <w:rFonts w:ascii="Source Sans Pro" w:hAnsi="Source Sans Pro"/>
          <w:sz w:val="36"/>
        </w:rPr>
        <w:t>A</w:t>
      </w:r>
      <w:r w:rsidRPr="00962A3F">
        <w:rPr>
          <w:rFonts w:ascii="Source Sans Pro" w:hAnsi="Source Sans Pro"/>
          <w:sz w:val="29"/>
        </w:rPr>
        <w:t xml:space="preserve">UDIT </w:t>
      </w:r>
      <w:r w:rsidR="00CA4019">
        <w:rPr>
          <w:rFonts w:ascii="Source Sans Pro" w:hAnsi="Source Sans Pro"/>
          <w:sz w:val="29"/>
        </w:rPr>
        <w:t>AND</w:t>
      </w:r>
      <w:r w:rsidRPr="00962A3F">
        <w:rPr>
          <w:rFonts w:ascii="Source Sans Pro" w:hAnsi="Source Sans Pro"/>
          <w:sz w:val="36"/>
        </w:rPr>
        <w:t xml:space="preserve"> C</w:t>
      </w:r>
      <w:r w:rsidRPr="00962A3F">
        <w:rPr>
          <w:rFonts w:ascii="Source Sans Pro" w:hAnsi="Source Sans Pro"/>
          <w:sz w:val="29"/>
        </w:rPr>
        <w:t>O</w:t>
      </w:r>
      <w:r w:rsidR="00962A3F">
        <w:rPr>
          <w:rFonts w:ascii="Source Sans Pro" w:hAnsi="Source Sans Pro"/>
          <w:sz w:val="29"/>
        </w:rPr>
        <w:t>MPLIANCE</w:t>
      </w:r>
    </w:p>
    <w:p w14:paraId="14BFA62E" w14:textId="027BBEC3" w:rsidR="00641480" w:rsidRPr="00962A3F" w:rsidRDefault="00AE6573" w:rsidP="00F30C3B">
      <w:pPr>
        <w:ind w:right="10"/>
        <w:rPr>
          <w:rFonts w:ascii="Source Sans Pro" w:hAnsi="Source Sans Pro"/>
          <w:sz w:val="36"/>
        </w:rPr>
        <w:sectPr w:rsidR="00641480" w:rsidRPr="00962A3F" w:rsidSect="00C53835">
          <w:type w:val="continuous"/>
          <w:pgSz w:w="12240" w:h="15840"/>
          <w:pgMar w:top="1440" w:right="1440" w:bottom="1440" w:left="1440" w:header="720" w:footer="720" w:gutter="0"/>
          <w:cols w:space="720"/>
          <w:docGrid w:linePitch="299"/>
        </w:sectPr>
      </w:pPr>
      <w:r w:rsidRPr="00962A3F">
        <w:rPr>
          <w:rFonts w:ascii="Source Sans Pro" w:hAnsi="Source Sans Pro"/>
          <w:sz w:val="36"/>
        </w:rPr>
        <w:t>A</w:t>
      </w:r>
      <w:r w:rsidRPr="00962A3F">
        <w:rPr>
          <w:rFonts w:ascii="Source Sans Pro" w:hAnsi="Source Sans Pro"/>
          <w:sz w:val="29"/>
        </w:rPr>
        <w:t xml:space="preserve">UGUST </w:t>
      </w:r>
      <w:r w:rsidRPr="00962A3F">
        <w:rPr>
          <w:rFonts w:ascii="Source Sans Pro" w:hAnsi="Source Sans Pro"/>
          <w:sz w:val="36"/>
        </w:rPr>
        <w:t>1, 20</w:t>
      </w:r>
      <w:r w:rsidR="00D15D2E">
        <w:rPr>
          <w:rFonts w:ascii="Source Sans Pro" w:hAnsi="Source Sans Pro"/>
          <w:sz w:val="36"/>
        </w:rPr>
        <w:t>20</w:t>
      </w:r>
    </w:p>
    <w:p w14:paraId="14BFA62F" w14:textId="31F8BBE1" w:rsidR="00641480" w:rsidRPr="00962A3F" w:rsidRDefault="00DE4299">
      <w:pPr>
        <w:spacing w:before="68"/>
        <w:ind w:left="6059"/>
        <w:rPr>
          <w:rFonts w:ascii="Source Sans Pro" w:hAnsi="Source Sans Pro"/>
          <w:b/>
          <w:sz w:val="14"/>
        </w:rPr>
      </w:pPr>
      <w:r>
        <w:rPr>
          <w:rFonts w:ascii="Source Sans Pro" w:hAnsi="Source Sans Pro"/>
          <w:b/>
          <w:sz w:val="14"/>
        </w:rPr>
        <w:lastRenderedPageBreak/>
        <w:t xml:space="preserve">INTERNAL AUDIT </w:t>
      </w:r>
      <w:r w:rsidR="00CA4019">
        <w:rPr>
          <w:rFonts w:ascii="Source Sans Pro" w:hAnsi="Source Sans Pro"/>
          <w:b/>
          <w:sz w:val="14"/>
        </w:rPr>
        <w:t>AND</w:t>
      </w:r>
      <w:r>
        <w:rPr>
          <w:rFonts w:ascii="Source Sans Pro" w:hAnsi="Source Sans Pro"/>
          <w:b/>
          <w:sz w:val="14"/>
        </w:rPr>
        <w:t xml:space="preserve"> COMPLIANCE</w:t>
      </w:r>
    </w:p>
    <w:p w14:paraId="14BFA630" w14:textId="2AB58084" w:rsidR="00641480" w:rsidRPr="00962A3F" w:rsidRDefault="00962A3F" w:rsidP="00727B96">
      <w:pPr>
        <w:pStyle w:val="BodyText"/>
        <w:spacing w:before="3"/>
        <w:ind w:left="6059"/>
        <w:rPr>
          <w:rFonts w:ascii="Source Sans Pro" w:hAnsi="Source Sans Pro"/>
          <w:b/>
          <w:sz w:val="18"/>
        </w:rPr>
      </w:pPr>
      <w:r w:rsidRPr="00962A3F">
        <w:rPr>
          <w:rFonts w:ascii="Source Sans Pro" w:hAnsi="Source Sans Pro"/>
          <w:noProof/>
        </w:rPr>
        <w:drawing>
          <wp:inline distT="0" distB="0" distL="0" distR="0" wp14:anchorId="2F31C994" wp14:editId="6CE6F696">
            <wp:extent cx="960120" cy="3840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0120" cy="384048"/>
                    </a:xfrm>
                    <a:prstGeom prst="rect">
                      <a:avLst/>
                    </a:prstGeom>
                    <a:noFill/>
                    <a:ln>
                      <a:noFill/>
                    </a:ln>
                  </pic:spPr>
                </pic:pic>
              </a:graphicData>
            </a:graphic>
          </wp:inline>
        </w:drawing>
      </w:r>
    </w:p>
    <w:p w14:paraId="03967431" w14:textId="2D6A008F" w:rsidR="0076626E" w:rsidRDefault="0076626E" w:rsidP="00E83754">
      <w:pPr>
        <w:ind w:left="6059" w:right="10"/>
        <w:rPr>
          <w:rFonts w:ascii="Source Sans Pro" w:hAnsi="Source Sans Pro"/>
          <w:sz w:val="18"/>
        </w:rPr>
      </w:pPr>
      <w:r>
        <w:rPr>
          <w:rFonts w:ascii="Source Sans Pro" w:hAnsi="Source Sans Pro"/>
          <w:sz w:val="18"/>
        </w:rPr>
        <w:t>S</w:t>
      </w:r>
      <w:r>
        <w:rPr>
          <w:rFonts w:ascii="Source Sans Pro" w:hAnsi="Source Sans Pro"/>
          <w:sz w:val="14"/>
        </w:rPr>
        <w:t xml:space="preserve">COTT </w:t>
      </w:r>
      <w:r w:rsidR="00AE6573" w:rsidRPr="00962A3F">
        <w:rPr>
          <w:rFonts w:ascii="Source Sans Pro" w:hAnsi="Source Sans Pro"/>
          <w:sz w:val="14"/>
        </w:rPr>
        <w:t xml:space="preserve"> </w:t>
      </w:r>
      <w:r w:rsidR="00AE6573" w:rsidRPr="00962A3F">
        <w:rPr>
          <w:rFonts w:ascii="Source Sans Pro" w:hAnsi="Source Sans Pro"/>
          <w:sz w:val="18"/>
        </w:rPr>
        <w:t>H</w:t>
      </w:r>
      <w:r w:rsidR="00AE6573" w:rsidRPr="00962A3F">
        <w:rPr>
          <w:rFonts w:ascii="Source Sans Pro" w:hAnsi="Source Sans Pro"/>
          <w:sz w:val="14"/>
        </w:rPr>
        <w:t>ALL</w:t>
      </w:r>
      <w:r w:rsidR="00AE6573" w:rsidRPr="00962A3F">
        <w:rPr>
          <w:rFonts w:ascii="Source Sans Pro" w:hAnsi="Source Sans Pro"/>
          <w:sz w:val="18"/>
        </w:rPr>
        <w:t xml:space="preserve">, </w:t>
      </w:r>
      <w:r w:rsidR="00A627E9">
        <w:rPr>
          <w:rFonts w:ascii="Source Sans Pro" w:hAnsi="Source Sans Pro"/>
          <w:sz w:val="18"/>
        </w:rPr>
        <w:t>O</w:t>
      </w:r>
      <w:r w:rsidR="00A627E9">
        <w:rPr>
          <w:rFonts w:ascii="Source Sans Pro" w:hAnsi="Source Sans Pro"/>
          <w:sz w:val="14"/>
        </w:rPr>
        <w:t>FFICE</w:t>
      </w:r>
      <w:r w:rsidR="00AE6573" w:rsidRPr="00962A3F">
        <w:rPr>
          <w:rFonts w:ascii="Source Sans Pro" w:hAnsi="Source Sans Pro"/>
          <w:sz w:val="14"/>
        </w:rPr>
        <w:t xml:space="preserve"> </w:t>
      </w:r>
      <w:r w:rsidR="00A627E9">
        <w:rPr>
          <w:rFonts w:ascii="Source Sans Pro" w:hAnsi="Source Sans Pro"/>
          <w:sz w:val="18"/>
        </w:rPr>
        <w:t>011</w:t>
      </w:r>
      <w:r w:rsidR="00AE456F">
        <w:rPr>
          <w:rFonts w:ascii="Source Sans Pro" w:hAnsi="Source Sans Pro"/>
          <w:sz w:val="18"/>
        </w:rPr>
        <w:t>8A</w:t>
      </w:r>
      <w:r w:rsidR="00AE6573" w:rsidRPr="00962A3F">
        <w:rPr>
          <w:rFonts w:ascii="Source Sans Pro" w:hAnsi="Source Sans Pro"/>
          <w:sz w:val="18"/>
        </w:rPr>
        <w:t xml:space="preserve"> </w:t>
      </w:r>
    </w:p>
    <w:p w14:paraId="14BFA631" w14:textId="625C908B" w:rsidR="00641480" w:rsidRPr="00962A3F" w:rsidRDefault="00AE456F" w:rsidP="00E83754">
      <w:pPr>
        <w:ind w:left="6059" w:right="10"/>
        <w:rPr>
          <w:rFonts w:ascii="Source Sans Pro" w:hAnsi="Source Sans Pro"/>
          <w:sz w:val="14"/>
        </w:rPr>
      </w:pPr>
      <w:r>
        <w:rPr>
          <w:rFonts w:ascii="Source Sans Pro" w:hAnsi="Source Sans Pro"/>
          <w:sz w:val="18"/>
        </w:rPr>
        <w:t>T</w:t>
      </w:r>
      <w:r>
        <w:rPr>
          <w:rFonts w:ascii="Source Sans Pro" w:hAnsi="Source Sans Pro"/>
          <w:sz w:val="14"/>
        </w:rPr>
        <w:t>OLEDO</w:t>
      </w:r>
      <w:r w:rsidR="00AE6573" w:rsidRPr="00962A3F">
        <w:rPr>
          <w:rFonts w:ascii="Source Sans Pro" w:hAnsi="Source Sans Pro"/>
          <w:sz w:val="14"/>
        </w:rPr>
        <w:t xml:space="preserve">, </w:t>
      </w:r>
      <w:r w:rsidR="00AE6573" w:rsidRPr="00962A3F">
        <w:rPr>
          <w:rFonts w:ascii="Source Sans Pro" w:hAnsi="Source Sans Pro"/>
          <w:sz w:val="18"/>
        </w:rPr>
        <w:t>O</w:t>
      </w:r>
      <w:r w:rsidR="00AE6573" w:rsidRPr="00962A3F">
        <w:rPr>
          <w:rFonts w:ascii="Source Sans Pro" w:hAnsi="Source Sans Pro"/>
          <w:sz w:val="14"/>
        </w:rPr>
        <w:t>HIO 4</w:t>
      </w:r>
      <w:r>
        <w:rPr>
          <w:rFonts w:ascii="Source Sans Pro" w:hAnsi="Source Sans Pro"/>
          <w:sz w:val="14"/>
        </w:rPr>
        <w:t>3606</w:t>
      </w:r>
    </w:p>
    <w:p w14:paraId="14BFA632" w14:textId="4B49D2A2" w:rsidR="00641480" w:rsidRPr="00962A3F" w:rsidRDefault="00AE6573">
      <w:pPr>
        <w:spacing w:before="39"/>
        <w:ind w:left="6059"/>
        <w:rPr>
          <w:rFonts w:ascii="Source Sans Pro" w:hAnsi="Source Sans Pro"/>
          <w:sz w:val="14"/>
        </w:rPr>
      </w:pPr>
      <w:r w:rsidRPr="00962A3F">
        <w:rPr>
          <w:rFonts w:ascii="Source Sans Pro" w:hAnsi="Source Sans Pro"/>
          <w:sz w:val="14"/>
        </w:rPr>
        <w:t>(</w:t>
      </w:r>
      <w:r w:rsidR="00AE456F">
        <w:rPr>
          <w:rFonts w:ascii="Source Sans Pro" w:hAnsi="Source Sans Pro"/>
          <w:sz w:val="14"/>
        </w:rPr>
        <w:t>4</w:t>
      </w:r>
      <w:r w:rsidRPr="00962A3F">
        <w:rPr>
          <w:rFonts w:ascii="Source Sans Pro" w:hAnsi="Source Sans Pro"/>
          <w:sz w:val="14"/>
        </w:rPr>
        <w:t>1</w:t>
      </w:r>
      <w:r w:rsidR="00AE456F">
        <w:rPr>
          <w:rFonts w:ascii="Source Sans Pro" w:hAnsi="Source Sans Pro"/>
          <w:sz w:val="14"/>
        </w:rPr>
        <w:t>9</w:t>
      </w:r>
      <w:r w:rsidRPr="00962A3F">
        <w:rPr>
          <w:rFonts w:ascii="Source Sans Pro" w:hAnsi="Source Sans Pro"/>
          <w:sz w:val="14"/>
        </w:rPr>
        <w:t>) 5</w:t>
      </w:r>
      <w:r w:rsidR="00AE456F">
        <w:rPr>
          <w:rFonts w:ascii="Source Sans Pro" w:hAnsi="Source Sans Pro"/>
          <w:sz w:val="14"/>
        </w:rPr>
        <w:t>30</w:t>
      </w:r>
      <w:r w:rsidRPr="00962A3F">
        <w:rPr>
          <w:rFonts w:ascii="Source Sans Pro" w:hAnsi="Source Sans Pro"/>
          <w:sz w:val="14"/>
        </w:rPr>
        <w:t>-</w:t>
      </w:r>
      <w:r w:rsidR="00AE456F">
        <w:rPr>
          <w:rFonts w:ascii="Source Sans Pro" w:hAnsi="Source Sans Pro"/>
          <w:sz w:val="14"/>
        </w:rPr>
        <w:t>8718</w:t>
      </w:r>
    </w:p>
    <w:p w14:paraId="14BFA633" w14:textId="77777777" w:rsidR="00641480" w:rsidRPr="00962A3F" w:rsidRDefault="00641480">
      <w:pPr>
        <w:pStyle w:val="BodyText"/>
        <w:rPr>
          <w:rFonts w:ascii="Source Sans Pro" w:hAnsi="Source Sans Pro"/>
          <w:sz w:val="20"/>
        </w:rPr>
      </w:pPr>
    </w:p>
    <w:p w14:paraId="14BFA634" w14:textId="77777777" w:rsidR="00641480" w:rsidRPr="00962A3F" w:rsidRDefault="00641480">
      <w:pPr>
        <w:pStyle w:val="BodyText"/>
        <w:spacing w:before="8"/>
        <w:rPr>
          <w:rFonts w:ascii="Source Sans Pro" w:hAnsi="Source Sans Pro"/>
          <w:sz w:val="19"/>
        </w:rPr>
      </w:pPr>
    </w:p>
    <w:p w14:paraId="14BFA635" w14:textId="77777777" w:rsidR="00641480" w:rsidRPr="00962A3F" w:rsidRDefault="00AE6573" w:rsidP="00C53835">
      <w:pPr>
        <w:pStyle w:val="BodyText"/>
        <w:tabs>
          <w:tab w:val="left" w:pos="1580"/>
        </w:tabs>
        <w:rPr>
          <w:rFonts w:ascii="Source Sans Pro" w:hAnsi="Source Sans Pro"/>
        </w:rPr>
      </w:pPr>
      <w:r w:rsidRPr="00962A3F">
        <w:rPr>
          <w:rFonts w:ascii="Source Sans Pro" w:hAnsi="Source Sans Pro"/>
        </w:rPr>
        <w:t>To:</w:t>
      </w:r>
      <w:r w:rsidRPr="00962A3F">
        <w:rPr>
          <w:rFonts w:ascii="Source Sans Pro" w:hAnsi="Source Sans Pro"/>
        </w:rPr>
        <w:tab/>
        <w:t>Jennifer B. Morrison, Associate Controller</w:t>
      </w:r>
    </w:p>
    <w:p w14:paraId="14BFA636" w14:textId="367D35E4" w:rsidR="00641480" w:rsidRPr="00962A3F" w:rsidRDefault="00641480" w:rsidP="00C53835">
      <w:pPr>
        <w:pStyle w:val="BodyText"/>
        <w:rPr>
          <w:rFonts w:ascii="Source Sans Pro" w:hAnsi="Source Sans Pro"/>
          <w:sz w:val="20"/>
        </w:rPr>
      </w:pPr>
    </w:p>
    <w:p w14:paraId="2E7CDA81" w14:textId="6E191A86" w:rsidR="0044009C" w:rsidRDefault="00AE6573" w:rsidP="00C53835">
      <w:pPr>
        <w:pStyle w:val="BodyText"/>
        <w:tabs>
          <w:tab w:val="left" w:pos="1580"/>
        </w:tabs>
        <w:spacing w:before="18" w:line="480" w:lineRule="auto"/>
        <w:ind w:right="10"/>
        <w:rPr>
          <w:rFonts w:ascii="Source Sans Pro" w:hAnsi="Source Sans Pro"/>
        </w:rPr>
      </w:pPr>
      <w:r w:rsidRPr="00962A3F">
        <w:rPr>
          <w:rFonts w:ascii="Source Sans Pro" w:hAnsi="Source Sans Pro"/>
        </w:rPr>
        <w:t>From:</w:t>
      </w:r>
      <w:r w:rsidRPr="00962A3F">
        <w:rPr>
          <w:rFonts w:ascii="Source Sans Pro" w:hAnsi="Source Sans Pro"/>
        </w:rPr>
        <w:tab/>
      </w:r>
      <w:r w:rsidR="00583523">
        <w:rPr>
          <w:rFonts w:ascii="Source Sans Pro" w:hAnsi="Source Sans Pro"/>
        </w:rPr>
        <w:t>David</w:t>
      </w:r>
      <w:r w:rsidRPr="00962A3F">
        <w:rPr>
          <w:rFonts w:ascii="Source Sans Pro" w:hAnsi="Source Sans Pro"/>
        </w:rPr>
        <w:t xml:space="preserve"> </w:t>
      </w:r>
      <w:r w:rsidR="00583523">
        <w:rPr>
          <w:rFonts w:ascii="Source Sans Pro" w:hAnsi="Source Sans Pro"/>
        </w:rPr>
        <w:t>L</w:t>
      </w:r>
      <w:r w:rsidRPr="00962A3F">
        <w:rPr>
          <w:rFonts w:ascii="Source Sans Pro" w:hAnsi="Source Sans Pro"/>
        </w:rPr>
        <w:t xml:space="preserve">. </w:t>
      </w:r>
      <w:r w:rsidR="00583523">
        <w:rPr>
          <w:rFonts w:ascii="Source Sans Pro" w:hAnsi="Source Sans Pro"/>
        </w:rPr>
        <w:t>Cutri</w:t>
      </w:r>
      <w:r w:rsidRPr="00962A3F">
        <w:rPr>
          <w:rFonts w:ascii="Source Sans Pro" w:hAnsi="Source Sans Pro"/>
        </w:rPr>
        <w:t xml:space="preserve">, </w:t>
      </w:r>
      <w:r w:rsidR="00583523">
        <w:rPr>
          <w:rFonts w:ascii="Source Sans Pro" w:hAnsi="Source Sans Pro"/>
        </w:rPr>
        <w:t xml:space="preserve">Executive </w:t>
      </w:r>
      <w:r w:rsidRPr="00962A3F">
        <w:rPr>
          <w:rFonts w:ascii="Source Sans Pro" w:hAnsi="Source Sans Pro"/>
        </w:rPr>
        <w:t xml:space="preserve">Director of Internal Audit and </w:t>
      </w:r>
      <w:r w:rsidR="0044009C">
        <w:rPr>
          <w:rFonts w:ascii="Source Sans Pro" w:hAnsi="Source Sans Pro"/>
        </w:rPr>
        <w:t>Chief Compliance Officer</w:t>
      </w:r>
      <w:r w:rsidRPr="00962A3F">
        <w:rPr>
          <w:rFonts w:ascii="Source Sans Pro" w:hAnsi="Source Sans Pro"/>
        </w:rPr>
        <w:t xml:space="preserve"> </w:t>
      </w:r>
    </w:p>
    <w:p w14:paraId="14BFA637" w14:textId="7B776579" w:rsidR="00641480" w:rsidRPr="00962A3F" w:rsidRDefault="00AE6573" w:rsidP="00C53835">
      <w:pPr>
        <w:pStyle w:val="BodyText"/>
        <w:tabs>
          <w:tab w:val="left" w:pos="1580"/>
        </w:tabs>
        <w:spacing w:before="18" w:line="480" w:lineRule="auto"/>
        <w:ind w:right="2173"/>
        <w:rPr>
          <w:rFonts w:ascii="Source Sans Pro" w:hAnsi="Source Sans Pro"/>
        </w:rPr>
      </w:pPr>
      <w:r w:rsidRPr="00962A3F">
        <w:rPr>
          <w:rFonts w:ascii="Source Sans Pro" w:hAnsi="Source Sans Pro"/>
        </w:rPr>
        <w:t>Subject:</w:t>
      </w:r>
      <w:r w:rsidRPr="00962A3F">
        <w:rPr>
          <w:rFonts w:ascii="Source Sans Pro" w:hAnsi="Source Sans Pro"/>
        </w:rPr>
        <w:tab/>
      </w:r>
      <w:r w:rsidRPr="00962A3F">
        <w:rPr>
          <w:rFonts w:ascii="Source Sans Pro" w:hAnsi="Source Sans Pro"/>
          <w:b/>
        </w:rPr>
        <w:t xml:space="preserve">Internal Audit Report </w:t>
      </w:r>
      <w:r w:rsidRPr="00962A3F">
        <w:rPr>
          <w:rFonts w:ascii="Source Sans Pro" w:hAnsi="Source Sans Pro"/>
        </w:rPr>
        <w:t>- Audit of Health Services</w:t>
      </w:r>
      <w:r w:rsidRPr="00962A3F">
        <w:rPr>
          <w:rFonts w:ascii="Source Sans Pro" w:hAnsi="Source Sans Pro"/>
          <w:spacing w:val="-8"/>
        </w:rPr>
        <w:t xml:space="preserve"> </w:t>
      </w:r>
      <w:r w:rsidRPr="00962A3F">
        <w:rPr>
          <w:rFonts w:ascii="Source Sans Pro" w:hAnsi="Source Sans Pro"/>
        </w:rPr>
        <w:t>Accounting</w:t>
      </w:r>
    </w:p>
    <w:p w14:paraId="14BFA638" w14:textId="284E5381" w:rsidR="00641480" w:rsidRPr="00962A3F" w:rsidRDefault="00AE6573" w:rsidP="00C53835">
      <w:pPr>
        <w:pStyle w:val="BodyText"/>
        <w:tabs>
          <w:tab w:val="left" w:pos="1580"/>
        </w:tabs>
        <w:spacing w:before="1"/>
        <w:rPr>
          <w:rFonts w:ascii="Source Sans Pro" w:hAnsi="Source Sans Pro"/>
        </w:rPr>
      </w:pPr>
      <w:r w:rsidRPr="00962A3F">
        <w:rPr>
          <w:rFonts w:ascii="Source Sans Pro" w:hAnsi="Source Sans Pro"/>
        </w:rPr>
        <w:t>Date:</w:t>
      </w:r>
      <w:r w:rsidRPr="00962A3F">
        <w:rPr>
          <w:rFonts w:ascii="Source Sans Pro" w:hAnsi="Source Sans Pro"/>
        </w:rPr>
        <w:tab/>
        <w:t>June 12,</w:t>
      </w:r>
      <w:r w:rsidRPr="00962A3F">
        <w:rPr>
          <w:rFonts w:ascii="Source Sans Pro" w:hAnsi="Source Sans Pro"/>
          <w:spacing w:val="-3"/>
        </w:rPr>
        <w:t xml:space="preserve"> </w:t>
      </w:r>
      <w:r w:rsidRPr="00962A3F">
        <w:rPr>
          <w:rFonts w:ascii="Source Sans Pro" w:hAnsi="Source Sans Pro"/>
        </w:rPr>
        <w:t>20</w:t>
      </w:r>
      <w:r w:rsidR="009E07FB">
        <w:rPr>
          <w:rFonts w:ascii="Source Sans Pro" w:hAnsi="Source Sans Pro"/>
        </w:rPr>
        <w:t>20</w:t>
      </w:r>
    </w:p>
    <w:p w14:paraId="14BFA639" w14:textId="77777777" w:rsidR="00641480" w:rsidRPr="00962A3F" w:rsidRDefault="00641480" w:rsidP="00C53835">
      <w:pPr>
        <w:pStyle w:val="BodyText"/>
        <w:rPr>
          <w:rFonts w:ascii="Source Sans Pro" w:hAnsi="Source Sans Pro"/>
        </w:rPr>
      </w:pPr>
    </w:p>
    <w:p w14:paraId="14BFA63A" w14:textId="77777777" w:rsidR="00641480" w:rsidRPr="00962A3F" w:rsidRDefault="00641480" w:rsidP="00C53835">
      <w:pPr>
        <w:pStyle w:val="BodyText"/>
        <w:spacing w:before="1"/>
        <w:rPr>
          <w:rFonts w:ascii="Source Sans Pro" w:hAnsi="Source Sans Pro"/>
        </w:rPr>
      </w:pPr>
    </w:p>
    <w:p w14:paraId="199658EA" w14:textId="48DC817D" w:rsidR="00DE4299" w:rsidRPr="00727B96" w:rsidRDefault="00AE6573" w:rsidP="00727B96">
      <w:pPr>
        <w:pStyle w:val="BodyText"/>
        <w:rPr>
          <w:rFonts w:ascii="Source Sans Pro" w:hAnsi="Source Sans Pro"/>
        </w:rPr>
      </w:pPr>
      <w:r w:rsidRPr="00962A3F">
        <w:rPr>
          <w:rFonts w:ascii="Source Sans Pro" w:hAnsi="Source Sans Pro"/>
        </w:rPr>
        <w:t xml:space="preserve">Internal Audit </w:t>
      </w:r>
      <w:r w:rsidR="00CA4019">
        <w:rPr>
          <w:rFonts w:ascii="Source Sans Pro" w:hAnsi="Source Sans Pro"/>
        </w:rPr>
        <w:t>and</w:t>
      </w:r>
      <w:r w:rsidRPr="00962A3F">
        <w:rPr>
          <w:rFonts w:ascii="Source Sans Pro" w:hAnsi="Source Sans Pro"/>
        </w:rPr>
        <w:t xml:space="preserve"> Co</w:t>
      </w:r>
      <w:r w:rsidR="009E07FB">
        <w:rPr>
          <w:rFonts w:ascii="Source Sans Pro" w:hAnsi="Source Sans Pro"/>
        </w:rPr>
        <w:t>mpliance</w:t>
      </w:r>
      <w:r w:rsidRPr="00962A3F">
        <w:rPr>
          <w:rFonts w:ascii="Source Sans Pro" w:hAnsi="Source Sans Pro"/>
        </w:rPr>
        <w:t xml:space="preserve"> performed a financial audit of accounting procedures related to </w:t>
      </w:r>
      <w:r w:rsidR="00CF71B8">
        <w:rPr>
          <w:rFonts w:ascii="Source Sans Pro" w:hAnsi="Source Sans Pro"/>
        </w:rPr>
        <w:t>the</w:t>
      </w:r>
      <w:r w:rsidRPr="00962A3F">
        <w:rPr>
          <w:rFonts w:ascii="Source Sans Pro" w:hAnsi="Source Sans Pro"/>
        </w:rPr>
        <w:t xml:space="preserve"> University</w:t>
      </w:r>
      <w:r w:rsidR="00CF71B8">
        <w:rPr>
          <w:rFonts w:ascii="Source Sans Pro" w:hAnsi="Source Sans Pro"/>
        </w:rPr>
        <w:t xml:space="preserve"> of Toledo</w:t>
      </w:r>
      <w:r w:rsidRPr="00962A3F">
        <w:rPr>
          <w:rFonts w:ascii="Source Sans Pro" w:hAnsi="Source Sans Pro"/>
        </w:rPr>
        <w:t xml:space="preserve">'s agreement with TriHealth. </w:t>
      </w:r>
      <w:r w:rsidR="00CD279A">
        <w:rPr>
          <w:rFonts w:ascii="Source Sans Pro" w:hAnsi="Source Sans Pro"/>
        </w:rPr>
        <w:t xml:space="preserve">The audit </w:t>
      </w:r>
      <w:r w:rsidR="00ED729F">
        <w:rPr>
          <w:rFonts w:ascii="Source Sans Pro" w:hAnsi="Source Sans Pro"/>
        </w:rPr>
        <w:t xml:space="preserve">conforms with the </w:t>
      </w:r>
      <w:r w:rsidR="00ED729F">
        <w:rPr>
          <w:rFonts w:ascii="Source Sans Pro" w:hAnsi="Source Sans Pro"/>
          <w:i/>
          <w:iCs/>
        </w:rPr>
        <w:t>International Standards for the Professional Practice of Internal Auditing</w:t>
      </w:r>
      <w:r w:rsidR="00232903">
        <w:rPr>
          <w:rFonts w:ascii="Source Sans Pro" w:hAnsi="Source Sans Pro"/>
          <w:i/>
          <w:iCs/>
        </w:rPr>
        <w:t xml:space="preserve">. </w:t>
      </w:r>
      <w:r w:rsidRPr="00962A3F">
        <w:rPr>
          <w:rFonts w:ascii="Source Sans Pro" w:hAnsi="Source Sans Pro"/>
        </w:rPr>
        <w:t>In 201</w:t>
      </w:r>
      <w:r w:rsidR="00CF71B8">
        <w:rPr>
          <w:rFonts w:ascii="Source Sans Pro" w:hAnsi="Source Sans Pro"/>
        </w:rPr>
        <w:t>6</w:t>
      </w:r>
      <w:r w:rsidRPr="00962A3F">
        <w:rPr>
          <w:rFonts w:ascii="Source Sans Pro" w:hAnsi="Source Sans Pro"/>
        </w:rPr>
        <w:t xml:space="preserve">, a management services agreement was executed between </w:t>
      </w:r>
      <w:r w:rsidR="00CF71B8">
        <w:rPr>
          <w:rFonts w:ascii="Source Sans Pro" w:hAnsi="Source Sans Pro"/>
        </w:rPr>
        <w:t>UToledo</w:t>
      </w:r>
      <w:r w:rsidRPr="00962A3F">
        <w:rPr>
          <w:rFonts w:ascii="Source Sans Pro" w:hAnsi="Source Sans Pro"/>
        </w:rPr>
        <w:t xml:space="preserve"> and TriHealth for an on-site health and wellness clinic. The clinic has oversight by Student Health Service (SHS) and is within the Division of Student Affairs. The audit period focused on fiscal year 201</w:t>
      </w:r>
      <w:r w:rsidR="00883DD2">
        <w:rPr>
          <w:rFonts w:ascii="Source Sans Pro" w:hAnsi="Source Sans Pro"/>
        </w:rPr>
        <w:t>9</w:t>
      </w:r>
      <w:r w:rsidRPr="00962A3F">
        <w:rPr>
          <w:rFonts w:ascii="Source Sans Pro" w:hAnsi="Source Sans Pro"/>
        </w:rPr>
        <w:t>, with an added review of fiscal year 20</w:t>
      </w:r>
      <w:r w:rsidR="00883DD2">
        <w:rPr>
          <w:rFonts w:ascii="Source Sans Pro" w:hAnsi="Source Sans Pro"/>
        </w:rPr>
        <w:t>20</w:t>
      </w:r>
      <w:r w:rsidRPr="00962A3F">
        <w:rPr>
          <w:rFonts w:ascii="Source Sans Pro" w:hAnsi="Source Sans Pro"/>
        </w:rPr>
        <w:t xml:space="preserve"> activity through May 30, 20</w:t>
      </w:r>
      <w:r w:rsidR="00883DD2">
        <w:rPr>
          <w:rFonts w:ascii="Source Sans Pro" w:hAnsi="Source Sans Pro"/>
        </w:rPr>
        <w:t>20</w:t>
      </w:r>
      <w:r w:rsidRPr="00962A3F">
        <w:rPr>
          <w:rFonts w:ascii="Source Sans Pro" w:hAnsi="Source Sans Pro"/>
        </w:rPr>
        <w:t>. The objective of the audit was to evaluate the adequacy and effectiveness of associated internal controls, including reliability of financial information and compliance with related policies and</w:t>
      </w:r>
      <w:r w:rsidRPr="00962A3F">
        <w:rPr>
          <w:rFonts w:ascii="Source Sans Pro" w:hAnsi="Source Sans Pro"/>
          <w:spacing w:val="-11"/>
        </w:rPr>
        <w:t xml:space="preserve"> </w:t>
      </w:r>
      <w:r w:rsidRPr="00962A3F">
        <w:rPr>
          <w:rFonts w:ascii="Source Sans Pro" w:hAnsi="Source Sans Pro"/>
        </w:rPr>
        <w:t>procedures.</w:t>
      </w:r>
    </w:p>
    <w:p w14:paraId="4E2E3030" w14:textId="77777777" w:rsidR="00727B96" w:rsidRDefault="00727B96" w:rsidP="00727B96">
      <w:pPr>
        <w:pStyle w:val="Heading1"/>
        <w:pBdr>
          <w:bottom w:val="single" w:sz="4" w:space="1" w:color="auto"/>
        </w:pBdr>
        <w:ind w:left="0" w:firstLine="0"/>
        <w:rPr>
          <w:rFonts w:ascii="Source Sans Pro" w:hAnsi="Source Sans Pro"/>
          <w:color w:val="003E7E"/>
        </w:rPr>
      </w:pPr>
    </w:p>
    <w:p w14:paraId="14BFA63D" w14:textId="1F9105C0" w:rsidR="00641480" w:rsidRPr="00A92C88" w:rsidRDefault="00AE6573" w:rsidP="00C53835">
      <w:pPr>
        <w:pStyle w:val="Heading1"/>
        <w:ind w:left="0" w:firstLine="0"/>
        <w:rPr>
          <w:rFonts w:ascii="Source Sans Pro" w:hAnsi="Source Sans Pro"/>
          <w:color w:val="003E7E"/>
        </w:rPr>
      </w:pPr>
      <w:r w:rsidRPr="00A92C88">
        <w:rPr>
          <w:rFonts w:ascii="Source Sans Pro" w:hAnsi="Source Sans Pro"/>
          <w:color w:val="003E7E"/>
        </w:rPr>
        <w:t>SUMMARY OF FINDINGS</w:t>
      </w:r>
    </w:p>
    <w:p w14:paraId="14BFA63E" w14:textId="77777777" w:rsidR="00641480" w:rsidRPr="00962A3F" w:rsidRDefault="00641480" w:rsidP="00C53835">
      <w:pPr>
        <w:pStyle w:val="BodyText"/>
        <w:spacing w:before="5"/>
        <w:rPr>
          <w:rFonts w:ascii="Source Sans Pro" w:hAnsi="Source Sans Pro"/>
          <w:b/>
          <w:sz w:val="17"/>
        </w:rPr>
      </w:pPr>
    </w:p>
    <w:p w14:paraId="14BFA63F" w14:textId="08BAA988" w:rsidR="00641480" w:rsidRPr="00962A3F" w:rsidRDefault="00DE4299" w:rsidP="00305F6A">
      <w:pPr>
        <w:pStyle w:val="BodyText"/>
        <w:spacing w:before="56"/>
        <w:rPr>
          <w:rFonts w:ascii="Source Sans Pro" w:hAnsi="Source Sans Pro"/>
        </w:rPr>
      </w:pPr>
      <w:r>
        <w:rPr>
          <w:rFonts w:ascii="Source Sans Pro" w:hAnsi="Source Sans Pro"/>
        </w:rPr>
        <w:t xml:space="preserve">Internal Audit </w:t>
      </w:r>
      <w:r w:rsidR="00CA4019">
        <w:rPr>
          <w:rFonts w:ascii="Source Sans Pro" w:hAnsi="Source Sans Pro"/>
        </w:rPr>
        <w:t>and</w:t>
      </w:r>
      <w:r>
        <w:rPr>
          <w:rFonts w:ascii="Source Sans Pro" w:hAnsi="Source Sans Pro"/>
        </w:rPr>
        <w:t xml:space="preserve"> Compliance</w:t>
      </w:r>
      <w:r w:rsidR="00AE6573" w:rsidRPr="00962A3F">
        <w:rPr>
          <w:rFonts w:ascii="Source Sans Pro" w:hAnsi="Source Sans Pro"/>
        </w:rPr>
        <w:t xml:space="preserve"> verified the process of receipts flowing in from TriHealth for net insurance proceeds. </w:t>
      </w:r>
      <w:r w:rsidR="008D72CE">
        <w:rPr>
          <w:rFonts w:ascii="Source Sans Pro" w:hAnsi="Source Sans Pro"/>
        </w:rPr>
        <w:t xml:space="preserve"> </w:t>
      </w:r>
      <w:r>
        <w:rPr>
          <w:rFonts w:ascii="Source Sans Pro" w:hAnsi="Source Sans Pro"/>
        </w:rPr>
        <w:t xml:space="preserve">Internal Audit </w:t>
      </w:r>
      <w:r w:rsidR="00CA4019">
        <w:rPr>
          <w:rFonts w:ascii="Source Sans Pro" w:hAnsi="Source Sans Pro"/>
        </w:rPr>
        <w:t>and</w:t>
      </w:r>
      <w:r>
        <w:rPr>
          <w:rFonts w:ascii="Source Sans Pro" w:hAnsi="Source Sans Pro"/>
        </w:rPr>
        <w:t xml:space="preserve"> Compliance</w:t>
      </w:r>
      <w:r w:rsidR="00AE6573" w:rsidRPr="00962A3F">
        <w:rPr>
          <w:rFonts w:ascii="Source Sans Pro" w:hAnsi="Source Sans Pro"/>
        </w:rPr>
        <w:t xml:space="preserve"> also verified that </w:t>
      </w:r>
      <w:r w:rsidR="008D72CE">
        <w:rPr>
          <w:rFonts w:ascii="Source Sans Pro" w:hAnsi="Source Sans Pro"/>
        </w:rPr>
        <w:t>UToledo</w:t>
      </w:r>
      <w:r w:rsidR="00AE6573" w:rsidRPr="00962A3F">
        <w:rPr>
          <w:rFonts w:ascii="Source Sans Pro" w:hAnsi="Source Sans Pro"/>
        </w:rPr>
        <w:t xml:space="preserve"> payments to TriHealth agree with amounts invoiced and the contract agreement; Human Resources staff review and approve TriHealth invoices for payment of expenses. In addition, </w:t>
      </w:r>
      <w:r>
        <w:rPr>
          <w:rFonts w:ascii="Source Sans Pro" w:hAnsi="Source Sans Pro"/>
        </w:rPr>
        <w:t xml:space="preserve">Internal Audit </w:t>
      </w:r>
      <w:r w:rsidR="00CA4019">
        <w:rPr>
          <w:rFonts w:ascii="Source Sans Pro" w:hAnsi="Source Sans Pro"/>
        </w:rPr>
        <w:t xml:space="preserve">and </w:t>
      </w:r>
      <w:r>
        <w:rPr>
          <w:rFonts w:ascii="Source Sans Pro" w:hAnsi="Source Sans Pro"/>
        </w:rPr>
        <w:t>Compliance</w:t>
      </w:r>
      <w:r w:rsidR="00AE6573" w:rsidRPr="00962A3F">
        <w:rPr>
          <w:rFonts w:ascii="Source Sans Pro" w:hAnsi="Source Sans Pro"/>
        </w:rPr>
        <w:t xml:space="preserve"> verified that amounts recorded by SHS staff in monthly journal entries agree with data submitted by TriHealth. Although no exceptions were noted with these procedures, internal controls need improvement as summarized in two recommendations:</w:t>
      </w:r>
    </w:p>
    <w:p w14:paraId="14BFA640" w14:textId="77777777" w:rsidR="00641480" w:rsidRPr="00962A3F" w:rsidRDefault="00641480">
      <w:pPr>
        <w:pStyle w:val="BodyText"/>
        <w:rPr>
          <w:rFonts w:ascii="Source Sans Pro" w:hAnsi="Source Sans Pro"/>
        </w:rPr>
      </w:pPr>
    </w:p>
    <w:p w14:paraId="14BFA641" w14:textId="77777777" w:rsidR="00641480" w:rsidRPr="00962A3F" w:rsidRDefault="00AE6573" w:rsidP="00C53835">
      <w:pPr>
        <w:pStyle w:val="Heading1"/>
        <w:numPr>
          <w:ilvl w:val="0"/>
          <w:numId w:val="2"/>
        </w:numPr>
        <w:ind w:left="630"/>
        <w:rPr>
          <w:rFonts w:ascii="Source Sans Pro" w:hAnsi="Source Sans Pro"/>
        </w:rPr>
      </w:pPr>
      <w:r w:rsidRPr="00962A3F">
        <w:rPr>
          <w:rFonts w:ascii="Source Sans Pro" w:hAnsi="Source Sans Pro"/>
        </w:rPr>
        <w:t>Perform monthly accounts receivable</w:t>
      </w:r>
      <w:r w:rsidRPr="00962A3F">
        <w:rPr>
          <w:rFonts w:ascii="Source Sans Pro" w:hAnsi="Source Sans Pro"/>
          <w:spacing w:val="-3"/>
        </w:rPr>
        <w:t xml:space="preserve"> </w:t>
      </w:r>
      <w:r w:rsidRPr="00962A3F">
        <w:rPr>
          <w:rFonts w:ascii="Source Sans Pro" w:hAnsi="Source Sans Pro"/>
        </w:rPr>
        <w:t>reconciliations</w:t>
      </w:r>
    </w:p>
    <w:p w14:paraId="14BFA642" w14:textId="77777777" w:rsidR="00641480" w:rsidRPr="00962A3F" w:rsidRDefault="00AE6573" w:rsidP="00C53835">
      <w:pPr>
        <w:pStyle w:val="ListParagraph"/>
        <w:numPr>
          <w:ilvl w:val="0"/>
          <w:numId w:val="2"/>
        </w:numPr>
        <w:ind w:left="630"/>
        <w:rPr>
          <w:rFonts w:ascii="Source Sans Pro" w:hAnsi="Source Sans Pro"/>
          <w:b/>
        </w:rPr>
      </w:pPr>
      <w:r w:rsidRPr="00962A3F">
        <w:rPr>
          <w:rFonts w:ascii="Source Sans Pro" w:hAnsi="Source Sans Pro"/>
          <w:b/>
        </w:rPr>
        <w:t>Implement procedures requiring approval of large billing</w:t>
      </w:r>
      <w:r w:rsidRPr="00962A3F">
        <w:rPr>
          <w:rFonts w:ascii="Source Sans Pro" w:hAnsi="Source Sans Pro"/>
          <w:b/>
          <w:spacing w:val="-14"/>
        </w:rPr>
        <w:t xml:space="preserve"> </w:t>
      </w:r>
      <w:r w:rsidRPr="00962A3F">
        <w:rPr>
          <w:rFonts w:ascii="Source Sans Pro" w:hAnsi="Source Sans Pro"/>
          <w:b/>
        </w:rPr>
        <w:t>adjustments</w:t>
      </w:r>
    </w:p>
    <w:p w14:paraId="14BFA643" w14:textId="77777777" w:rsidR="00641480" w:rsidRPr="00962A3F" w:rsidRDefault="00641480">
      <w:pPr>
        <w:pStyle w:val="BodyText"/>
        <w:rPr>
          <w:rFonts w:ascii="Source Sans Pro" w:hAnsi="Source Sans Pro"/>
          <w:b/>
        </w:rPr>
      </w:pPr>
    </w:p>
    <w:p w14:paraId="14BFA644" w14:textId="77777777" w:rsidR="00641480" w:rsidRPr="00962A3F" w:rsidRDefault="00AE6573" w:rsidP="00305F6A">
      <w:pPr>
        <w:pStyle w:val="BodyText"/>
        <w:spacing w:before="1"/>
        <w:rPr>
          <w:rFonts w:ascii="Source Sans Pro" w:hAnsi="Source Sans Pro"/>
        </w:rPr>
      </w:pPr>
      <w:r w:rsidRPr="00962A3F">
        <w:rPr>
          <w:rFonts w:ascii="Source Sans Pro" w:hAnsi="Source Sans Pro"/>
        </w:rPr>
        <w:t>Below are the detailed recommendations for improvement followed by management responses from Linda Manley, Assistant Controller.</w:t>
      </w:r>
    </w:p>
    <w:p w14:paraId="07B87E5E" w14:textId="4E608069" w:rsidR="00DE4299" w:rsidRDefault="00DE4299" w:rsidP="00727B96">
      <w:pPr>
        <w:pStyle w:val="Heading1"/>
        <w:pBdr>
          <w:bottom w:val="single" w:sz="4" w:space="1" w:color="auto"/>
        </w:pBdr>
        <w:ind w:left="0" w:firstLine="0"/>
        <w:rPr>
          <w:rFonts w:ascii="Source Sans Pro" w:hAnsi="Source Sans Pro"/>
          <w:color w:val="003E7E"/>
        </w:rPr>
      </w:pPr>
    </w:p>
    <w:p w14:paraId="14BFA646" w14:textId="6349225F" w:rsidR="00641480" w:rsidRPr="00A92C88" w:rsidRDefault="00AE6573" w:rsidP="00C53835">
      <w:pPr>
        <w:pStyle w:val="Heading1"/>
        <w:ind w:left="0" w:firstLine="0"/>
        <w:rPr>
          <w:rFonts w:ascii="Source Sans Pro" w:hAnsi="Source Sans Pro"/>
          <w:color w:val="003E7E"/>
        </w:rPr>
      </w:pPr>
      <w:r w:rsidRPr="00A92C88">
        <w:rPr>
          <w:rFonts w:ascii="Source Sans Pro" w:hAnsi="Source Sans Pro"/>
          <w:color w:val="003E7E"/>
        </w:rPr>
        <w:t>RECOMMENDATIONS FOR IMPROVEMENT</w:t>
      </w:r>
    </w:p>
    <w:p w14:paraId="14BFA647" w14:textId="77777777" w:rsidR="00641480" w:rsidRPr="00962A3F" w:rsidRDefault="00641480" w:rsidP="00C53835">
      <w:pPr>
        <w:pStyle w:val="BodyText"/>
        <w:spacing w:before="5"/>
        <w:rPr>
          <w:rFonts w:ascii="Source Sans Pro" w:hAnsi="Source Sans Pro"/>
          <w:b/>
          <w:sz w:val="17"/>
        </w:rPr>
      </w:pPr>
    </w:p>
    <w:p w14:paraId="14BFA648" w14:textId="77777777" w:rsidR="00641480" w:rsidRPr="00962A3F" w:rsidRDefault="00AE6573" w:rsidP="00C53835">
      <w:pPr>
        <w:pStyle w:val="ListParagraph"/>
        <w:numPr>
          <w:ilvl w:val="0"/>
          <w:numId w:val="1"/>
        </w:numPr>
        <w:spacing w:before="56"/>
        <w:ind w:left="270"/>
        <w:rPr>
          <w:rFonts w:ascii="Source Sans Pro" w:hAnsi="Source Sans Pro"/>
          <w:b/>
        </w:rPr>
      </w:pPr>
      <w:r w:rsidRPr="00962A3F">
        <w:rPr>
          <w:rFonts w:ascii="Source Sans Pro" w:hAnsi="Source Sans Pro"/>
          <w:b/>
        </w:rPr>
        <w:t>Perform monthly accounts receivable</w:t>
      </w:r>
      <w:r w:rsidRPr="00962A3F">
        <w:rPr>
          <w:rFonts w:ascii="Source Sans Pro" w:hAnsi="Source Sans Pro"/>
          <w:b/>
          <w:spacing w:val="-3"/>
        </w:rPr>
        <w:t xml:space="preserve"> </w:t>
      </w:r>
      <w:r w:rsidRPr="00962A3F">
        <w:rPr>
          <w:rFonts w:ascii="Source Sans Pro" w:hAnsi="Source Sans Pro"/>
          <w:b/>
        </w:rPr>
        <w:t>reconciliations</w:t>
      </w:r>
    </w:p>
    <w:p w14:paraId="14BFA649" w14:textId="77777777" w:rsidR="00641480" w:rsidRPr="00962A3F" w:rsidRDefault="00641480">
      <w:pPr>
        <w:pStyle w:val="BodyText"/>
        <w:spacing w:before="1"/>
        <w:rPr>
          <w:rFonts w:ascii="Source Sans Pro" w:hAnsi="Source Sans Pro"/>
          <w:b/>
        </w:rPr>
      </w:pPr>
    </w:p>
    <w:p w14:paraId="14BFA64D" w14:textId="2C70D9FD" w:rsidR="00641480" w:rsidRPr="00962A3F" w:rsidRDefault="00AE6573" w:rsidP="00305F6A">
      <w:pPr>
        <w:pStyle w:val="BodyText"/>
        <w:rPr>
          <w:rFonts w:ascii="Source Sans Pro" w:hAnsi="Source Sans Pro"/>
        </w:rPr>
      </w:pPr>
      <w:r w:rsidRPr="00962A3F">
        <w:rPr>
          <w:rFonts w:ascii="Source Sans Pro" w:hAnsi="Source Sans Pro"/>
        </w:rPr>
        <w:lastRenderedPageBreak/>
        <w:t>Monthly reconciliations should be performed to verify that University</w:t>
      </w:r>
      <w:r w:rsidR="007445DA">
        <w:rPr>
          <w:rFonts w:ascii="Source Sans Pro" w:hAnsi="Source Sans Pro"/>
        </w:rPr>
        <w:t xml:space="preserve"> of Toledo</w:t>
      </w:r>
      <w:r w:rsidRPr="00962A3F">
        <w:rPr>
          <w:rFonts w:ascii="Source Sans Pro" w:hAnsi="Source Sans Pro"/>
        </w:rPr>
        <w:t xml:space="preserve">'s accounts receivable balance due from TriHealth is accurately recorded in Banner. General Accounting has written procedures for booking the SHS monthly journal vouchers and performing a monthly reconciliation of accounts receivable; however, there was approximately a $60K unreconciled amount at fiscal year-end 6/30/2017 that remains unreconciled. </w:t>
      </w:r>
      <w:r w:rsidR="00390F5A">
        <w:rPr>
          <w:rFonts w:ascii="Source Sans Pro" w:hAnsi="Source Sans Pro"/>
        </w:rPr>
        <w:t>UToledo</w:t>
      </w:r>
      <w:r w:rsidRPr="00962A3F">
        <w:rPr>
          <w:rFonts w:ascii="Source Sans Pro" w:hAnsi="Source Sans Pro"/>
        </w:rPr>
        <w:t xml:space="preserve"> shows a higher amount due from TriHealth than as stated by TriHealth. Although attempts were made by the Controller's Office during FY</w:t>
      </w:r>
      <w:r w:rsidR="00390F5A">
        <w:rPr>
          <w:rFonts w:ascii="Source Sans Pro" w:hAnsi="Source Sans Pro"/>
        </w:rPr>
        <w:t>20</w:t>
      </w:r>
      <w:r w:rsidRPr="00962A3F">
        <w:rPr>
          <w:rFonts w:ascii="Source Sans Pro" w:hAnsi="Source Sans Pro"/>
        </w:rPr>
        <w:t xml:space="preserve"> to reconcile activity for June and July 201</w:t>
      </w:r>
      <w:r w:rsidR="00390F5A">
        <w:rPr>
          <w:rFonts w:ascii="Source Sans Pro" w:hAnsi="Source Sans Pro"/>
        </w:rPr>
        <w:t>9</w:t>
      </w:r>
      <w:r w:rsidRPr="00962A3F">
        <w:rPr>
          <w:rFonts w:ascii="Source Sans Pro" w:hAnsi="Source Sans Pro"/>
        </w:rPr>
        <w:t xml:space="preserve">, they were </w:t>
      </w:r>
      <w:r w:rsidR="003F64CF" w:rsidRPr="00962A3F">
        <w:rPr>
          <w:rFonts w:ascii="Source Sans Pro" w:hAnsi="Source Sans Pro"/>
        </w:rPr>
        <w:t>unsuccessful,</w:t>
      </w:r>
      <w:r w:rsidRPr="00962A3F">
        <w:rPr>
          <w:rFonts w:ascii="Source Sans Pro" w:hAnsi="Source Sans Pro"/>
        </w:rPr>
        <w:t xml:space="preserve"> and no reconciliation was performed for August 201</w:t>
      </w:r>
      <w:r w:rsidR="00390F5A">
        <w:rPr>
          <w:rFonts w:ascii="Source Sans Pro" w:hAnsi="Source Sans Pro"/>
        </w:rPr>
        <w:t>9</w:t>
      </w:r>
      <w:r w:rsidRPr="00962A3F">
        <w:rPr>
          <w:rFonts w:ascii="Source Sans Pro" w:hAnsi="Source Sans Pro"/>
        </w:rPr>
        <w:t xml:space="preserve"> or beyond as of 5/30/20</w:t>
      </w:r>
      <w:r w:rsidR="00390F5A">
        <w:rPr>
          <w:rFonts w:ascii="Source Sans Pro" w:hAnsi="Source Sans Pro"/>
        </w:rPr>
        <w:t>20</w:t>
      </w:r>
      <w:r w:rsidRPr="00962A3F">
        <w:rPr>
          <w:rFonts w:ascii="Source Sans Pro" w:hAnsi="Source Sans Pro"/>
        </w:rPr>
        <w:t>. In a 6/12/20</w:t>
      </w:r>
      <w:r w:rsidR="00390F5A">
        <w:rPr>
          <w:rFonts w:ascii="Source Sans Pro" w:hAnsi="Source Sans Pro"/>
        </w:rPr>
        <w:t>20</w:t>
      </w:r>
      <w:r w:rsidRPr="00962A3F">
        <w:rPr>
          <w:rFonts w:ascii="Source Sans Pro" w:hAnsi="Source Sans Pro"/>
        </w:rPr>
        <w:t xml:space="preserve"> update, Student Affairs management reported that staff from SHS, TriHealth, Budget Office, and General Accounting are reviewing the daily and monthl</w:t>
      </w:r>
      <w:r w:rsidR="00A10D75">
        <w:rPr>
          <w:rFonts w:ascii="Source Sans Pro" w:hAnsi="Source Sans Pro"/>
        </w:rPr>
        <w:t xml:space="preserve">y </w:t>
      </w:r>
      <w:r w:rsidRPr="00962A3F">
        <w:rPr>
          <w:rFonts w:ascii="Source Sans Pro" w:hAnsi="Source Sans Pro"/>
        </w:rPr>
        <w:t xml:space="preserve">reconciliation process currently in place. The reconciliation problems are partially attributable to General Accounting staff turnover, as well as unawareness that detailed information exists to help with reconciliations. Without monthly reconciliations, errors made by either University </w:t>
      </w:r>
      <w:r w:rsidR="00A10D75">
        <w:rPr>
          <w:rFonts w:ascii="Source Sans Pro" w:hAnsi="Source Sans Pro"/>
        </w:rPr>
        <w:t xml:space="preserve">of Toledo </w:t>
      </w:r>
      <w:r w:rsidRPr="00962A3F">
        <w:rPr>
          <w:rFonts w:ascii="Source Sans Pro" w:hAnsi="Source Sans Pro"/>
        </w:rPr>
        <w:t>or TriHealth are at high risk of going unnoticed and the reliability of the related financial information is lacking.</w:t>
      </w:r>
      <w:r w:rsidRPr="00962A3F">
        <w:rPr>
          <w:rFonts w:ascii="Source Sans Pro" w:hAnsi="Source Sans Pro"/>
          <w:spacing w:val="-29"/>
        </w:rPr>
        <w:t xml:space="preserve"> </w:t>
      </w:r>
      <w:r w:rsidRPr="00962A3F">
        <w:rPr>
          <w:rFonts w:ascii="Source Sans Pro" w:hAnsi="Source Sans Pro"/>
        </w:rPr>
        <w:t>There is a potential loss of revenue from either students or</w:t>
      </w:r>
      <w:r w:rsidRPr="00962A3F">
        <w:rPr>
          <w:rFonts w:ascii="Source Sans Pro" w:hAnsi="Source Sans Pro"/>
          <w:spacing w:val="-14"/>
        </w:rPr>
        <w:t xml:space="preserve"> </w:t>
      </w:r>
      <w:r w:rsidRPr="00962A3F">
        <w:rPr>
          <w:rFonts w:ascii="Source Sans Pro" w:hAnsi="Source Sans Pro"/>
        </w:rPr>
        <w:t>TriHealth.</w:t>
      </w:r>
    </w:p>
    <w:p w14:paraId="14BFA64E" w14:textId="77777777" w:rsidR="00641480" w:rsidRPr="00962A3F" w:rsidRDefault="00641480" w:rsidP="00C53835">
      <w:pPr>
        <w:pStyle w:val="BodyText"/>
        <w:spacing w:before="11"/>
        <w:rPr>
          <w:rFonts w:ascii="Source Sans Pro" w:hAnsi="Source Sans Pro"/>
          <w:sz w:val="21"/>
        </w:rPr>
      </w:pPr>
    </w:p>
    <w:p w14:paraId="14BFA64F" w14:textId="77777777" w:rsidR="00641480" w:rsidRPr="00962A3F" w:rsidRDefault="00AE6573" w:rsidP="00C53835">
      <w:pPr>
        <w:pStyle w:val="BodyText"/>
        <w:rPr>
          <w:rFonts w:ascii="Source Sans Pro" w:hAnsi="Source Sans Pro"/>
        </w:rPr>
      </w:pPr>
      <w:r w:rsidRPr="00962A3F">
        <w:rPr>
          <w:rFonts w:ascii="Source Sans Pro" w:hAnsi="Source Sans Pro"/>
          <w:u w:val="single"/>
        </w:rPr>
        <w:t>Recommendation</w:t>
      </w:r>
    </w:p>
    <w:p w14:paraId="14BFA650" w14:textId="77777777" w:rsidR="00641480" w:rsidRPr="00962A3F" w:rsidRDefault="00641480" w:rsidP="00C53835">
      <w:pPr>
        <w:pStyle w:val="BodyText"/>
        <w:spacing w:before="5"/>
        <w:rPr>
          <w:rFonts w:ascii="Source Sans Pro" w:hAnsi="Source Sans Pro"/>
          <w:sz w:val="17"/>
        </w:rPr>
      </w:pPr>
    </w:p>
    <w:p w14:paraId="14BFA651" w14:textId="56D2B646" w:rsidR="00641480" w:rsidRPr="00962A3F" w:rsidRDefault="00AE6573" w:rsidP="00305F6A">
      <w:pPr>
        <w:pStyle w:val="BodyText"/>
        <w:spacing w:before="56"/>
        <w:rPr>
          <w:rFonts w:ascii="Source Sans Pro" w:hAnsi="Source Sans Pro"/>
        </w:rPr>
      </w:pPr>
      <w:r w:rsidRPr="00962A3F">
        <w:rPr>
          <w:rFonts w:ascii="Source Sans Pro" w:hAnsi="Source Sans Pro"/>
        </w:rPr>
        <w:t xml:space="preserve">The Controller's Office should assign responsibility for reconciling the TriHealth accounts receivable balance </w:t>
      </w:r>
      <w:r w:rsidR="00305F6A" w:rsidRPr="00962A3F">
        <w:rPr>
          <w:rFonts w:ascii="Source Sans Pro" w:hAnsi="Source Sans Pro"/>
        </w:rPr>
        <w:t>monthly</w:t>
      </w:r>
      <w:r w:rsidRPr="00962A3F">
        <w:rPr>
          <w:rFonts w:ascii="Source Sans Pro" w:hAnsi="Source Sans Pro"/>
        </w:rPr>
        <w:t>. Doing so will improve the reliability of financial information and compliance with University procedures.</w:t>
      </w:r>
    </w:p>
    <w:p w14:paraId="14BFA652" w14:textId="77777777" w:rsidR="00641480" w:rsidRPr="00962A3F" w:rsidRDefault="00641480" w:rsidP="00C53835">
      <w:pPr>
        <w:pStyle w:val="BodyText"/>
        <w:spacing w:before="2"/>
        <w:rPr>
          <w:rFonts w:ascii="Source Sans Pro" w:hAnsi="Source Sans Pro"/>
        </w:rPr>
      </w:pPr>
    </w:p>
    <w:p w14:paraId="14BFA653" w14:textId="77777777" w:rsidR="00641480" w:rsidRPr="00962A3F" w:rsidRDefault="00AE6573" w:rsidP="00C53835">
      <w:pPr>
        <w:pStyle w:val="BodyText"/>
        <w:rPr>
          <w:rFonts w:ascii="Source Sans Pro" w:hAnsi="Source Sans Pro"/>
        </w:rPr>
      </w:pPr>
      <w:r w:rsidRPr="00962A3F">
        <w:rPr>
          <w:rFonts w:ascii="Source Sans Pro" w:hAnsi="Source Sans Pro"/>
          <w:u w:val="single"/>
        </w:rPr>
        <w:t>Management's response</w:t>
      </w:r>
    </w:p>
    <w:p w14:paraId="14BFA654" w14:textId="77777777" w:rsidR="00641480" w:rsidRPr="00962A3F" w:rsidRDefault="00641480" w:rsidP="00C53835">
      <w:pPr>
        <w:pStyle w:val="BodyText"/>
        <w:spacing w:before="5"/>
        <w:rPr>
          <w:rFonts w:ascii="Source Sans Pro" w:hAnsi="Source Sans Pro"/>
          <w:sz w:val="17"/>
        </w:rPr>
      </w:pPr>
    </w:p>
    <w:p w14:paraId="14BFA655" w14:textId="48CEFD86" w:rsidR="00641480" w:rsidRPr="00962A3F" w:rsidRDefault="00AE6573" w:rsidP="00305F6A">
      <w:pPr>
        <w:spacing w:before="56"/>
        <w:rPr>
          <w:rFonts w:ascii="Source Sans Pro" w:hAnsi="Source Sans Pro"/>
          <w:i/>
        </w:rPr>
      </w:pPr>
      <w:r w:rsidRPr="00962A3F">
        <w:rPr>
          <w:rFonts w:ascii="Source Sans Pro" w:hAnsi="Source Sans Pro"/>
          <w:i/>
          <w:color w:val="006FC0"/>
        </w:rPr>
        <w:t>The Controller’s Office agrees with this recommendation. Linda Manley, Assistant Controller, performed the June 30</w:t>
      </w:r>
      <w:r w:rsidRPr="00962A3F">
        <w:rPr>
          <w:rFonts w:ascii="Source Sans Pro" w:hAnsi="Source Sans Pro"/>
          <w:i/>
          <w:color w:val="006FC0"/>
          <w:vertAlign w:val="superscript"/>
        </w:rPr>
        <w:t>th</w:t>
      </w:r>
      <w:r w:rsidRPr="00962A3F">
        <w:rPr>
          <w:rFonts w:ascii="Source Sans Pro" w:hAnsi="Source Sans Pro"/>
          <w:i/>
          <w:color w:val="006FC0"/>
        </w:rPr>
        <w:t xml:space="preserve"> reconciliation of A/R as part of the FY</w:t>
      </w:r>
      <w:r w:rsidR="00607624">
        <w:rPr>
          <w:rFonts w:ascii="Source Sans Pro" w:hAnsi="Source Sans Pro"/>
          <w:i/>
          <w:color w:val="006FC0"/>
        </w:rPr>
        <w:t>20</w:t>
      </w:r>
      <w:r w:rsidRPr="00962A3F">
        <w:rPr>
          <w:rFonts w:ascii="Source Sans Pro" w:hAnsi="Source Sans Pro"/>
          <w:i/>
          <w:color w:val="006FC0"/>
        </w:rPr>
        <w:t xml:space="preserve"> year</w:t>
      </w:r>
      <w:r w:rsidR="00607624">
        <w:rPr>
          <w:rFonts w:ascii="Source Sans Pro" w:hAnsi="Source Sans Pro"/>
          <w:i/>
          <w:color w:val="006FC0"/>
        </w:rPr>
        <w:t>-</w:t>
      </w:r>
      <w:r w:rsidRPr="00962A3F">
        <w:rPr>
          <w:rFonts w:ascii="Source Sans Pro" w:hAnsi="Source Sans Pro"/>
          <w:i/>
          <w:color w:val="006FC0"/>
        </w:rPr>
        <w:t xml:space="preserve">end close. Monthly A/R reconciliations will be completed by Linda Manley and will be added to the month end close procedures throughout the fiscal year. Karen </w:t>
      </w:r>
      <w:r w:rsidR="00DE4299" w:rsidRPr="00962A3F">
        <w:rPr>
          <w:rFonts w:ascii="Source Sans Pro" w:hAnsi="Source Sans Pro"/>
          <w:i/>
          <w:color w:val="006FC0"/>
        </w:rPr>
        <w:t>Kamer</w:t>
      </w:r>
      <w:r w:rsidRPr="00962A3F">
        <w:rPr>
          <w:rFonts w:ascii="Source Sans Pro" w:hAnsi="Source Sans Pro"/>
          <w:i/>
          <w:color w:val="006FC0"/>
        </w:rPr>
        <w:t>, Administrative Associate in Student Health Services, will begin the daily reconciliation of Bursar feeds to Banner effective 7/1/</w:t>
      </w:r>
      <w:r w:rsidR="00607624">
        <w:rPr>
          <w:rFonts w:ascii="Source Sans Pro" w:hAnsi="Source Sans Pro"/>
          <w:i/>
          <w:color w:val="006FC0"/>
        </w:rPr>
        <w:t>20</w:t>
      </w:r>
      <w:r w:rsidRPr="00962A3F">
        <w:rPr>
          <w:rFonts w:ascii="Source Sans Pro" w:hAnsi="Source Sans Pro"/>
          <w:i/>
          <w:color w:val="006FC0"/>
        </w:rPr>
        <w:t>. Linda Manley will finalize the daily reconciliations through 6/30/</w:t>
      </w:r>
      <w:r w:rsidR="00607624">
        <w:rPr>
          <w:rFonts w:ascii="Source Sans Pro" w:hAnsi="Source Sans Pro"/>
          <w:i/>
          <w:color w:val="006FC0"/>
        </w:rPr>
        <w:t>20</w:t>
      </w:r>
      <w:r w:rsidRPr="00962A3F">
        <w:rPr>
          <w:rFonts w:ascii="Source Sans Pro" w:hAnsi="Source Sans Pro"/>
          <w:i/>
          <w:color w:val="006FC0"/>
        </w:rPr>
        <w:t xml:space="preserve">. In addition, Tim </w:t>
      </w:r>
      <w:r w:rsidR="00DE4299" w:rsidRPr="00962A3F">
        <w:rPr>
          <w:rFonts w:ascii="Source Sans Pro" w:hAnsi="Source Sans Pro"/>
          <w:i/>
          <w:color w:val="006FC0"/>
        </w:rPr>
        <w:t>Kresge</w:t>
      </w:r>
      <w:r w:rsidRPr="00962A3F">
        <w:rPr>
          <w:rFonts w:ascii="Source Sans Pro" w:hAnsi="Source Sans Pro"/>
          <w:i/>
          <w:color w:val="006FC0"/>
        </w:rPr>
        <w:t xml:space="preserve"> is in the process of setting up a meeting with Kris </w:t>
      </w:r>
      <w:r w:rsidR="00DE4299" w:rsidRPr="00962A3F">
        <w:rPr>
          <w:rFonts w:ascii="Source Sans Pro" w:hAnsi="Source Sans Pro"/>
          <w:i/>
          <w:color w:val="006FC0"/>
        </w:rPr>
        <w:t>Cusano</w:t>
      </w:r>
      <w:r w:rsidRPr="00962A3F">
        <w:rPr>
          <w:rFonts w:ascii="Source Sans Pro" w:hAnsi="Source Sans Pro"/>
          <w:i/>
          <w:color w:val="006FC0"/>
        </w:rPr>
        <w:t xml:space="preserve"> to develop/implement better practices for the daily reconciliation of Bursar feeds to Banner.</w:t>
      </w:r>
    </w:p>
    <w:p w14:paraId="14BFA656" w14:textId="77777777" w:rsidR="00641480" w:rsidRPr="00962A3F" w:rsidRDefault="00641480">
      <w:pPr>
        <w:pStyle w:val="BodyText"/>
        <w:rPr>
          <w:rFonts w:ascii="Source Sans Pro" w:hAnsi="Source Sans Pro"/>
          <w:i/>
        </w:rPr>
      </w:pPr>
    </w:p>
    <w:p w14:paraId="14BFA657" w14:textId="77777777" w:rsidR="00641480" w:rsidRPr="00962A3F" w:rsidRDefault="00AE6573" w:rsidP="00C53835">
      <w:pPr>
        <w:pStyle w:val="Heading1"/>
        <w:numPr>
          <w:ilvl w:val="0"/>
          <w:numId w:val="1"/>
        </w:numPr>
        <w:ind w:left="270"/>
        <w:rPr>
          <w:rFonts w:ascii="Source Sans Pro" w:hAnsi="Source Sans Pro"/>
        </w:rPr>
      </w:pPr>
      <w:r w:rsidRPr="00962A3F">
        <w:rPr>
          <w:rFonts w:ascii="Source Sans Pro" w:hAnsi="Source Sans Pro"/>
        </w:rPr>
        <w:t>Implement procedures requiring approval of large billing</w:t>
      </w:r>
      <w:r w:rsidRPr="00962A3F">
        <w:rPr>
          <w:rFonts w:ascii="Source Sans Pro" w:hAnsi="Source Sans Pro"/>
          <w:spacing w:val="-13"/>
        </w:rPr>
        <w:t xml:space="preserve"> </w:t>
      </w:r>
      <w:r w:rsidRPr="00962A3F">
        <w:rPr>
          <w:rFonts w:ascii="Source Sans Pro" w:hAnsi="Source Sans Pro"/>
        </w:rPr>
        <w:t>adjustments</w:t>
      </w:r>
    </w:p>
    <w:p w14:paraId="14BFA658" w14:textId="77777777" w:rsidR="00641480" w:rsidRPr="00962A3F" w:rsidRDefault="00641480">
      <w:pPr>
        <w:pStyle w:val="BodyText"/>
        <w:spacing w:before="1"/>
        <w:rPr>
          <w:rFonts w:ascii="Source Sans Pro" w:hAnsi="Source Sans Pro"/>
          <w:b/>
        </w:rPr>
      </w:pPr>
    </w:p>
    <w:p w14:paraId="14BFA659" w14:textId="3466D95D" w:rsidR="00641480" w:rsidRPr="00962A3F" w:rsidRDefault="00AE6573" w:rsidP="00305F6A">
      <w:pPr>
        <w:pStyle w:val="BodyText"/>
        <w:rPr>
          <w:rFonts w:ascii="Source Sans Pro" w:hAnsi="Source Sans Pro"/>
        </w:rPr>
      </w:pPr>
      <w:r w:rsidRPr="00962A3F">
        <w:rPr>
          <w:rFonts w:ascii="Source Sans Pro" w:hAnsi="Source Sans Pro"/>
        </w:rPr>
        <w:t xml:space="preserve">Given that Student Affairs is responsible for managing SHS, large write-offs of accounts receivable should be reviewed and approved by Student Affairs senior management. At the end of every month, </w:t>
      </w:r>
      <w:r w:rsidR="00CE2C95">
        <w:rPr>
          <w:rFonts w:ascii="Source Sans Pro" w:hAnsi="Source Sans Pro"/>
        </w:rPr>
        <w:t>UToledo</w:t>
      </w:r>
      <w:r w:rsidRPr="00962A3F">
        <w:rPr>
          <w:rFonts w:ascii="Source Sans Pro" w:hAnsi="Source Sans Pro"/>
        </w:rPr>
        <w:t xml:space="preserve"> receives billing reports from TriHealth. Accounts receivable transaction details are shown on the reports, including miscellaneous billing adjustments. </w:t>
      </w:r>
      <w:r w:rsidR="00CE2C95">
        <w:rPr>
          <w:rFonts w:ascii="Source Sans Pro" w:hAnsi="Source Sans Pro"/>
        </w:rPr>
        <w:t xml:space="preserve"> </w:t>
      </w:r>
      <w:r w:rsidR="00DE4299">
        <w:rPr>
          <w:rFonts w:ascii="Source Sans Pro" w:hAnsi="Source Sans Pro"/>
        </w:rPr>
        <w:t xml:space="preserve">Internal Audit </w:t>
      </w:r>
      <w:r w:rsidR="00CA4019">
        <w:rPr>
          <w:rFonts w:ascii="Source Sans Pro" w:hAnsi="Source Sans Pro"/>
        </w:rPr>
        <w:t>and</w:t>
      </w:r>
      <w:r w:rsidR="00DE4299">
        <w:rPr>
          <w:rFonts w:ascii="Source Sans Pro" w:hAnsi="Source Sans Pro"/>
        </w:rPr>
        <w:t xml:space="preserve"> Compliance</w:t>
      </w:r>
      <w:r w:rsidRPr="00962A3F">
        <w:rPr>
          <w:rFonts w:ascii="Source Sans Pro" w:hAnsi="Source Sans Pro"/>
        </w:rPr>
        <w:t xml:space="preserve"> reviewed TriHealth billing adjustments and noted one that appeared unusual; in July 201</w:t>
      </w:r>
      <w:r w:rsidR="00CE2C95">
        <w:rPr>
          <w:rFonts w:ascii="Source Sans Pro" w:hAnsi="Source Sans Pro"/>
        </w:rPr>
        <w:t>9</w:t>
      </w:r>
      <w:r w:rsidRPr="00962A3F">
        <w:rPr>
          <w:rFonts w:ascii="Source Sans Pro" w:hAnsi="Source Sans Pro"/>
        </w:rPr>
        <w:t xml:space="preserve">, TriHealth listed billing adjustments reducing </w:t>
      </w:r>
      <w:r w:rsidR="00607624">
        <w:rPr>
          <w:rFonts w:ascii="Source Sans Pro" w:hAnsi="Source Sans Pro"/>
        </w:rPr>
        <w:t>UToledo</w:t>
      </w:r>
      <w:r w:rsidRPr="00962A3F">
        <w:rPr>
          <w:rFonts w:ascii="Source Sans Pro" w:hAnsi="Source Sans Pro"/>
        </w:rPr>
        <w:t xml:space="preserve"> accounts receivable by $96K. This July 201</w:t>
      </w:r>
      <w:r w:rsidR="00607624">
        <w:rPr>
          <w:rFonts w:ascii="Source Sans Pro" w:hAnsi="Source Sans Pro"/>
        </w:rPr>
        <w:t>9</w:t>
      </w:r>
      <w:r w:rsidRPr="00962A3F">
        <w:rPr>
          <w:rFonts w:ascii="Source Sans Pro" w:hAnsi="Source Sans Pro"/>
        </w:rPr>
        <w:t xml:space="preserve"> journal voucher was not approved by senior management in Student Affairs and did not get booked by General Accounting until March 20</w:t>
      </w:r>
      <w:r w:rsidR="00607624">
        <w:rPr>
          <w:rFonts w:ascii="Source Sans Pro" w:hAnsi="Source Sans Pro"/>
        </w:rPr>
        <w:t>20</w:t>
      </w:r>
      <w:r w:rsidRPr="00962A3F">
        <w:rPr>
          <w:rFonts w:ascii="Source Sans Pro" w:hAnsi="Source Sans Pro"/>
        </w:rPr>
        <w:t>. Financial projections are distorted by the late booking of large adjustments. In addition, it is much more difficult to question or dispute adjustments when not reviewed timely.</w:t>
      </w:r>
    </w:p>
    <w:p w14:paraId="14BFA65A" w14:textId="77777777" w:rsidR="00641480" w:rsidRPr="00962A3F" w:rsidRDefault="00641480" w:rsidP="00C53835">
      <w:pPr>
        <w:pStyle w:val="BodyText"/>
        <w:rPr>
          <w:rFonts w:ascii="Source Sans Pro" w:hAnsi="Source Sans Pro"/>
        </w:rPr>
      </w:pPr>
    </w:p>
    <w:p w14:paraId="14BFA65B" w14:textId="77777777" w:rsidR="00641480" w:rsidRPr="00962A3F" w:rsidRDefault="00AE6573" w:rsidP="00C53835">
      <w:pPr>
        <w:pStyle w:val="BodyText"/>
        <w:rPr>
          <w:rFonts w:ascii="Source Sans Pro" w:hAnsi="Source Sans Pro"/>
        </w:rPr>
      </w:pPr>
      <w:r w:rsidRPr="00962A3F">
        <w:rPr>
          <w:rFonts w:ascii="Source Sans Pro" w:hAnsi="Source Sans Pro"/>
          <w:u w:val="single"/>
        </w:rPr>
        <w:t>Recommendation</w:t>
      </w:r>
    </w:p>
    <w:p w14:paraId="14BFA65C" w14:textId="77777777" w:rsidR="00641480" w:rsidRPr="00962A3F" w:rsidRDefault="00641480" w:rsidP="00C53835">
      <w:pPr>
        <w:pStyle w:val="BodyText"/>
        <w:spacing w:before="3"/>
        <w:rPr>
          <w:rFonts w:ascii="Source Sans Pro" w:hAnsi="Source Sans Pro"/>
          <w:sz w:val="17"/>
        </w:rPr>
      </w:pPr>
    </w:p>
    <w:p w14:paraId="14BFA65D" w14:textId="77777777" w:rsidR="00641480" w:rsidRPr="00962A3F" w:rsidRDefault="00AE6573" w:rsidP="00305F6A">
      <w:pPr>
        <w:pStyle w:val="BodyText"/>
        <w:spacing w:before="57"/>
        <w:rPr>
          <w:rFonts w:ascii="Source Sans Pro" w:hAnsi="Source Sans Pro"/>
        </w:rPr>
      </w:pPr>
      <w:r w:rsidRPr="00962A3F">
        <w:rPr>
          <w:rFonts w:ascii="Source Sans Pro" w:hAnsi="Source Sans Pro"/>
        </w:rPr>
        <w:t>The Controller's Office should work with Student Affairs to implement procedures requiring approval of large billing adjustments prior to booking such journal vouchers. Amounts considered large and who should approve within Student Affairs senior management (Assistant VP for Student Wellness or Director of Budget and Technology) should be predetermined.</w:t>
      </w:r>
    </w:p>
    <w:p w14:paraId="14BFA65E" w14:textId="77777777" w:rsidR="00641480" w:rsidRPr="00962A3F" w:rsidRDefault="00641480" w:rsidP="00C53835">
      <w:pPr>
        <w:pStyle w:val="BodyText"/>
        <w:spacing w:before="1"/>
        <w:rPr>
          <w:rFonts w:ascii="Source Sans Pro" w:hAnsi="Source Sans Pro"/>
        </w:rPr>
      </w:pPr>
    </w:p>
    <w:p w14:paraId="14BFA65F" w14:textId="77777777" w:rsidR="00641480" w:rsidRPr="00962A3F" w:rsidRDefault="00AE6573" w:rsidP="00C53835">
      <w:pPr>
        <w:pStyle w:val="BodyText"/>
        <w:rPr>
          <w:rFonts w:ascii="Source Sans Pro" w:hAnsi="Source Sans Pro"/>
        </w:rPr>
      </w:pPr>
      <w:r w:rsidRPr="00962A3F">
        <w:rPr>
          <w:rFonts w:ascii="Source Sans Pro" w:hAnsi="Source Sans Pro"/>
          <w:u w:val="single"/>
        </w:rPr>
        <w:t>Management's response</w:t>
      </w:r>
    </w:p>
    <w:p w14:paraId="14BFA660" w14:textId="77777777" w:rsidR="00641480" w:rsidRPr="00962A3F" w:rsidRDefault="00641480" w:rsidP="00C53835">
      <w:pPr>
        <w:pStyle w:val="BodyText"/>
        <w:spacing w:before="5"/>
        <w:rPr>
          <w:rFonts w:ascii="Source Sans Pro" w:hAnsi="Source Sans Pro"/>
          <w:sz w:val="17"/>
        </w:rPr>
      </w:pPr>
    </w:p>
    <w:p w14:paraId="14BFA664" w14:textId="16E144B1" w:rsidR="00641480" w:rsidRPr="00962A3F" w:rsidRDefault="00AE6573" w:rsidP="00305F6A">
      <w:pPr>
        <w:spacing w:before="56"/>
        <w:rPr>
          <w:rFonts w:ascii="Source Sans Pro" w:hAnsi="Source Sans Pro"/>
          <w:i/>
        </w:rPr>
      </w:pPr>
      <w:r w:rsidRPr="00962A3F">
        <w:rPr>
          <w:rFonts w:ascii="Source Sans Pro" w:hAnsi="Source Sans Pro"/>
          <w:i/>
          <w:color w:val="006FC0"/>
        </w:rPr>
        <w:t>The Controller’s Office agrees with this recommendation. Effective 7/1/20</w:t>
      </w:r>
      <w:r w:rsidR="0097451B">
        <w:rPr>
          <w:rFonts w:ascii="Source Sans Pro" w:hAnsi="Source Sans Pro"/>
          <w:i/>
          <w:color w:val="006FC0"/>
        </w:rPr>
        <w:t>20</w:t>
      </w:r>
      <w:r w:rsidRPr="00962A3F">
        <w:rPr>
          <w:rFonts w:ascii="Source Sans Pro" w:hAnsi="Source Sans Pro"/>
          <w:i/>
          <w:color w:val="006FC0"/>
        </w:rPr>
        <w:t xml:space="preserve">, Tim </w:t>
      </w:r>
      <w:r w:rsidR="00DE4299" w:rsidRPr="00962A3F">
        <w:rPr>
          <w:rFonts w:ascii="Source Sans Pro" w:hAnsi="Source Sans Pro"/>
          <w:i/>
          <w:color w:val="006FC0"/>
        </w:rPr>
        <w:t>Kresge</w:t>
      </w:r>
      <w:r w:rsidRPr="00962A3F">
        <w:rPr>
          <w:rFonts w:ascii="Source Sans Pro" w:hAnsi="Source Sans Pro"/>
          <w:i/>
          <w:color w:val="006FC0"/>
        </w:rPr>
        <w:t>, Director of Budget &amp; Technology-Division of Student Affairs, will review all billing adjustments that are $10,000 or</w:t>
      </w:r>
      <w:r w:rsidR="00D32216">
        <w:rPr>
          <w:rFonts w:ascii="Source Sans Pro" w:hAnsi="Source Sans Pro"/>
          <w:i/>
          <w:color w:val="006FC0"/>
        </w:rPr>
        <w:t xml:space="preserve"> </w:t>
      </w:r>
      <w:r w:rsidRPr="00962A3F">
        <w:rPr>
          <w:rFonts w:ascii="Source Sans Pro" w:hAnsi="Source Sans Pro"/>
          <w:i/>
          <w:color w:val="006FC0"/>
        </w:rPr>
        <w:t>over prior to the booking of the journal vouchers to Banner. Once Tim has reviewed the adjustment, the billing adjustment will be approved by Stephen Large, Assistant Vice President Health &amp; Wellness.</w:t>
      </w:r>
    </w:p>
    <w:p w14:paraId="14BFA665" w14:textId="77777777" w:rsidR="00641480" w:rsidRPr="00962A3F" w:rsidRDefault="00641480" w:rsidP="00C53835">
      <w:pPr>
        <w:pStyle w:val="BodyText"/>
        <w:rPr>
          <w:rFonts w:ascii="Source Sans Pro" w:hAnsi="Source Sans Pro"/>
          <w:i/>
        </w:rPr>
      </w:pPr>
    </w:p>
    <w:p w14:paraId="14BFA666" w14:textId="77777777" w:rsidR="00641480" w:rsidRPr="00962A3F" w:rsidRDefault="00641480" w:rsidP="00C53835">
      <w:pPr>
        <w:pStyle w:val="BodyText"/>
        <w:rPr>
          <w:rFonts w:ascii="Source Sans Pro" w:hAnsi="Source Sans Pro"/>
          <w:i/>
        </w:rPr>
      </w:pPr>
    </w:p>
    <w:p w14:paraId="14BFA667" w14:textId="3B5A0BD7" w:rsidR="00641480" w:rsidRPr="00962A3F" w:rsidRDefault="00DE4299" w:rsidP="00C53835">
      <w:pPr>
        <w:pStyle w:val="BodyText"/>
        <w:spacing w:before="172"/>
        <w:rPr>
          <w:rFonts w:ascii="Source Sans Pro" w:hAnsi="Source Sans Pro"/>
        </w:rPr>
      </w:pPr>
      <w:r>
        <w:rPr>
          <w:rFonts w:ascii="Source Sans Pro" w:hAnsi="Source Sans Pro"/>
        </w:rPr>
        <w:t xml:space="preserve">Internal Audit </w:t>
      </w:r>
      <w:r w:rsidR="00CA4019">
        <w:rPr>
          <w:rFonts w:ascii="Source Sans Pro" w:hAnsi="Source Sans Pro"/>
        </w:rPr>
        <w:t>and</w:t>
      </w:r>
      <w:r>
        <w:rPr>
          <w:rFonts w:ascii="Source Sans Pro" w:hAnsi="Source Sans Pro"/>
        </w:rPr>
        <w:t xml:space="preserve"> Compliance</w:t>
      </w:r>
      <w:r w:rsidR="00AE6573" w:rsidRPr="00962A3F">
        <w:rPr>
          <w:rFonts w:ascii="Source Sans Pro" w:hAnsi="Source Sans Pro"/>
        </w:rPr>
        <w:t xml:space="preserve"> appreciates the cooperation received during this audit.</w:t>
      </w:r>
    </w:p>
    <w:p w14:paraId="14BFA668" w14:textId="77777777" w:rsidR="00641480" w:rsidRPr="00962A3F" w:rsidRDefault="00641480">
      <w:pPr>
        <w:pStyle w:val="BodyText"/>
        <w:rPr>
          <w:rFonts w:ascii="Source Sans Pro" w:hAnsi="Source Sans Pro"/>
        </w:rPr>
      </w:pPr>
    </w:p>
    <w:p w14:paraId="14BFA669" w14:textId="77777777" w:rsidR="00641480" w:rsidRPr="00962A3F" w:rsidRDefault="00641480">
      <w:pPr>
        <w:pStyle w:val="BodyText"/>
        <w:rPr>
          <w:rFonts w:ascii="Source Sans Pro" w:hAnsi="Source Sans Pro"/>
        </w:rPr>
      </w:pPr>
    </w:p>
    <w:p w14:paraId="14BFA66A" w14:textId="77777777" w:rsidR="00641480" w:rsidRPr="00962A3F" w:rsidRDefault="00641480">
      <w:pPr>
        <w:pStyle w:val="BodyText"/>
        <w:spacing w:before="4"/>
        <w:rPr>
          <w:rFonts w:ascii="Source Sans Pro" w:hAnsi="Source Sans Pro"/>
          <w:sz w:val="17"/>
        </w:rPr>
      </w:pPr>
    </w:p>
    <w:p w14:paraId="06E02946" w14:textId="77777777" w:rsidR="00C53835" w:rsidRDefault="00AE6573" w:rsidP="00C53835">
      <w:pPr>
        <w:pStyle w:val="BodyText"/>
        <w:tabs>
          <w:tab w:val="left" w:pos="860"/>
        </w:tabs>
        <w:rPr>
          <w:rFonts w:ascii="Source Sans Pro" w:hAnsi="Source Sans Pro"/>
        </w:rPr>
      </w:pPr>
      <w:r w:rsidRPr="00962A3F">
        <w:rPr>
          <w:rFonts w:ascii="Source Sans Pro" w:hAnsi="Source Sans Pro"/>
        </w:rPr>
        <w:t>Cc:</w:t>
      </w:r>
      <w:r w:rsidRPr="00962A3F">
        <w:rPr>
          <w:rFonts w:ascii="Source Sans Pro" w:hAnsi="Source Sans Pro"/>
        </w:rPr>
        <w:tab/>
        <w:t>Jayne E.</w:t>
      </w:r>
      <w:r w:rsidRPr="00962A3F">
        <w:rPr>
          <w:rFonts w:ascii="Source Sans Pro" w:hAnsi="Source Sans Pro"/>
          <w:spacing w:val="-1"/>
        </w:rPr>
        <w:t xml:space="preserve"> </w:t>
      </w:r>
      <w:r w:rsidRPr="00962A3F">
        <w:rPr>
          <w:rFonts w:ascii="Source Sans Pro" w:hAnsi="Source Sans Pro"/>
        </w:rPr>
        <w:t>Brownell</w:t>
      </w:r>
    </w:p>
    <w:p w14:paraId="0928F0C9" w14:textId="77777777" w:rsidR="00C53835" w:rsidRDefault="00C53835" w:rsidP="00C53835">
      <w:pPr>
        <w:pStyle w:val="BodyText"/>
        <w:tabs>
          <w:tab w:val="left" w:pos="860"/>
        </w:tabs>
        <w:rPr>
          <w:rFonts w:ascii="Source Sans Pro" w:hAnsi="Source Sans Pro"/>
        </w:rPr>
      </w:pPr>
      <w:r>
        <w:rPr>
          <w:rFonts w:ascii="Source Sans Pro" w:hAnsi="Source Sans Pro"/>
        </w:rPr>
        <w:tab/>
      </w:r>
      <w:r w:rsidR="00AE6573" w:rsidRPr="00962A3F">
        <w:rPr>
          <w:rFonts w:ascii="Source Sans Pro" w:hAnsi="Source Sans Pro"/>
        </w:rPr>
        <w:t xml:space="preserve">Kristine L. </w:t>
      </w:r>
      <w:r w:rsidR="00DE4299" w:rsidRPr="00962A3F">
        <w:rPr>
          <w:rFonts w:ascii="Source Sans Pro" w:hAnsi="Source Sans Pro"/>
        </w:rPr>
        <w:t>Cusano</w:t>
      </w:r>
      <w:r w:rsidR="00AE6573" w:rsidRPr="00962A3F">
        <w:rPr>
          <w:rFonts w:ascii="Source Sans Pro" w:hAnsi="Source Sans Pro"/>
        </w:rPr>
        <w:t xml:space="preserve"> </w:t>
      </w:r>
    </w:p>
    <w:p w14:paraId="68B2045E" w14:textId="77777777" w:rsidR="00C53835" w:rsidRDefault="00C53835" w:rsidP="00C53835">
      <w:pPr>
        <w:pStyle w:val="BodyText"/>
        <w:tabs>
          <w:tab w:val="left" w:pos="860"/>
        </w:tabs>
        <w:rPr>
          <w:rFonts w:ascii="Source Sans Pro" w:hAnsi="Source Sans Pro"/>
        </w:rPr>
      </w:pPr>
      <w:r>
        <w:rPr>
          <w:rFonts w:ascii="Source Sans Pro" w:hAnsi="Source Sans Pro"/>
        </w:rPr>
        <w:tab/>
      </w:r>
      <w:r w:rsidR="00AE6573" w:rsidRPr="00962A3F">
        <w:rPr>
          <w:rFonts w:ascii="Source Sans Pro" w:hAnsi="Source Sans Pro"/>
        </w:rPr>
        <w:t xml:space="preserve">Gary A. Cornett </w:t>
      </w:r>
    </w:p>
    <w:p w14:paraId="1E378A56" w14:textId="77777777" w:rsidR="00C53835" w:rsidRDefault="00C53835" w:rsidP="00C53835">
      <w:pPr>
        <w:pStyle w:val="BodyText"/>
        <w:tabs>
          <w:tab w:val="left" w:pos="860"/>
        </w:tabs>
        <w:rPr>
          <w:rFonts w:ascii="Source Sans Pro" w:hAnsi="Source Sans Pro"/>
        </w:rPr>
      </w:pPr>
      <w:r>
        <w:rPr>
          <w:rFonts w:ascii="Source Sans Pro" w:hAnsi="Source Sans Pro"/>
        </w:rPr>
        <w:tab/>
      </w:r>
      <w:r w:rsidR="00AE6573" w:rsidRPr="00962A3F">
        <w:rPr>
          <w:rFonts w:ascii="Source Sans Pro" w:hAnsi="Source Sans Pro"/>
        </w:rPr>
        <w:t xml:space="preserve">David K. Creamer </w:t>
      </w:r>
    </w:p>
    <w:p w14:paraId="735E548E" w14:textId="77777777" w:rsidR="00C53835" w:rsidRDefault="00C53835" w:rsidP="00C53835">
      <w:pPr>
        <w:pStyle w:val="BodyText"/>
        <w:tabs>
          <w:tab w:val="left" w:pos="860"/>
        </w:tabs>
        <w:rPr>
          <w:rFonts w:ascii="Source Sans Pro" w:hAnsi="Source Sans Pro"/>
        </w:rPr>
      </w:pPr>
      <w:r>
        <w:rPr>
          <w:rFonts w:ascii="Source Sans Pro" w:hAnsi="Source Sans Pro"/>
        </w:rPr>
        <w:tab/>
      </w:r>
      <w:r w:rsidR="00AE6573" w:rsidRPr="00962A3F">
        <w:rPr>
          <w:rFonts w:ascii="Source Sans Pro" w:hAnsi="Source Sans Pro"/>
        </w:rPr>
        <w:t xml:space="preserve">Karen H. </w:t>
      </w:r>
      <w:r w:rsidR="00DE4299" w:rsidRPr="00962A3F">
        <w:rPr>
          <w:rFonts w:ascii="Source Sans Pro" w:hAnsi="Source Sans Pro"/>
        </w:rPr>
        <w:t>Kamer</w:t>
      </w:r>
      <w:r w:rsidR="00AE6573" w:rsidRPr="00962A3F">
        <w:rPr>
          <w:rFonts w:ascii="Source Sans Pro" w:hAnsi="Source Sans Pro"/>
        </w:rPr>
        <w:t xml:space="preserve"> </w:t>
      </w:r>
    </w:p>
    <w:p w14:paraId="2C53F673" w14:textId="77777777" w:rsidR="00C53835" w:rsidRDefault="00C53835" w:rsidP="00C53835">
      <w:pPr>
        <w:pStyle w:val="BodyText"/>
        <w:tabs>
          <w:tab w:val="left" w:pos="860"/>
        </w:tabs>
        <w:rPr>
          <w:rFonts w:ascii="Source Sans Pro" w:hAnsi="Source Sans Pro"/>
        </w:rPr>
      </w:pPr>
      <w:r>
        <w:rPr>
          <w:rFonts w:ascii="Source Sans Pro" w:hAnsi="Source Sans Pro"/>
        </w:rPr>
        <w:tab/>
      </w:r>
      <w:r w:rsidR="00AE6573" w:rsidRPr="00962A3F">
        <w:rPr>
          <w:rFonts w:ascii="Source Sans Pro" w:hAnsi="Source Sans Pro"/>
        </w:rPr>
        <w:t xml:space="preserve">Tim </w:t>
      </w:r>
      <w:r w:rsidR="00DE4299" w:rsidRPr="00962A3F">
        <w:rPr>
          <w:rFonts w:ascii="Source Sans Pro" w:hAnsi="Source Sans Pro"/>
        </w:rPr>
        <w:t>Kresge</w:t>
      </w:r>
      <w:r w:rsidR="00AE6573" w:rsidRPr="00962A3F">
        <w:rPr>
          <w:rFonts w:ascii="Source Sans Pro" w:hAnsi="Source Sans Pro"/>
        </w:rPr>
        <w:t xml:space="preserve"> </w:t>
      </w:r>
    </w:p>
    <w:p w14:paraId="253077EC" w14:textId="77777777" w:rsidR="00C53835" w:rsidRDefault="00C53835" w:rsidP="00C53835">
      <w:pPr>
        <w:pStyle w:val="BodyText"/>
        <w:tabs>
          <w:tab w:val="left" w:pos="860"/>
        </w:tabs>
        <w:rPr>
          <w:rFonts w:ascii="Source Sans Pro" w:hAnsi="Source Sans Pro"/>
        </w:rPr>
      </w:pPr>
      <w:r>
        <w:rPr>
          <w:rFonts w:ascii="Source Sans Pro" w:hAnsi="Source Sans Pro"/>
        </w:rPr>
        <w:tab/>
      </w:r>
      <w:r w:rsidR="00AE6573" w:rsidRPr="00962A3F">
        <w:rPr>
          <w:rFonts w:ascii="Source Sans Pro" w:hAnsi="Source Sans Pro"/>
        </w:rPr>
        <w:t xml:space="preserve">Stephen J. Large </w:t>
      </w:r>
    </w:p>
    <w:p w14:paraId="14BFA66C" w14:textId="4F7567B5" w:rsidR="00641480" w:rsidRPr="00962A3F" w:rsidRDefault="00C53835" w:rsidP="00C53835">
      <w:pPr>
        <w:pStyle w:val="BodyText"/>
        <w:tabs>
          <w:tab w:val="left" w:pos="860"/>
        </w:tabs>
        <w:rPr>
          <w:rFonts w:ascii="Source Sans Pro" w:hAnsi="Source Sans Pro"/>
        </w:rPr>
      </w:pPr>
      <w:r>
        <w:rPr>
          <w:rFonts w:ascii="Source Sans Pro" w:hAnsi="Source Sans Pro"/>
        </w:rPr>
        <w:tab/>
      </w:r>
      <w:r w:rsidR="00AE6573" w:rsidRPr="00962A3F">
        <w:rPr>
          <w:rFonts w:ascii="Source Sans Pro" w:hAnsi="Source Sans Pro"/>
        </w:rPr>
        <w:t>Linda K. Manley</w:t>
      </w:r>
    </w:p>
    <w:sectPr w:rsidR="00641480" w:rsidRPr="00962A3F" w:rsidSect="00CA4019">
      <w:headerReference w:type="default" r:id="rId13"/>
      <w:pgSz w:w="12240" w:h="15840"/>
      <w:pgMar w:top="1440" w:right="1440" w:bottom="1440" w:left="1440" w:header="768"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10746" w14:textId="77777777" w:rsidR="008E5177" w:rsidRDefault="008E5177">
      <w:r>
        <w:separator/>
      </w:r>
    </w:p>
  </w:endnote>
  <w:endnote w:type="continuationSeparator" w:id="0">
    <w:p w14:paraId="5EDD3475" w14:textId="77777777" w:rsidR="008E5177" w:rsidRDefault="008E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25D68" w14:textId="77777777" w:rsidR="008E5177" w:rsidRDefault="008E5177">
      <w:r>
        <w:separator/>
      </w:r>
    </w:p>
  </w:footnote>
  <w:footnote w:type="continuationSeparator" w:id="0">
    <w:p w14:paraId="7779E99A" w14:textId="77777777" w:rsidR="008E5177" w:rsidRDefault="008E5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2FB07" w14:textId="77777777" w:rsidR="00900602" w:rsidRDefault="00900602" w:rsidP="00900602">
    <w:pPr>
      <w:spacing w:line="264" w:lineRule="exact"/>
      <w:ind w:left="20"/>
    </w:pPr>
    <w:r>
      <w:rPr>
        <w:b/>
        <w:sz w:val="24"/>
      </w:rPr>
      <w:t xml:space="preserve">Internal Audit Report </w:t>
    </w:r>
    <w:r>
      <w:rPr>
        <w:sz w:val="24"/>
      </w:rPr>
      <w:t xml:space="preserve">– </w:t>
    </w:r>
    <w:r>
      <w:t>Audit of Health Services Accounting</w:t>
    </w:r>
  </w:p>
  <w:p w14:paraId="24E53C32" w14:textId="04B65240" w:rsidR="00900602" w:rsidRDefault="00900602" w:rsidP="00900602">
    <w:pPr>
      <w:ind w:left="20"/>
      <w:rPr>
        <w:sz w:val="24"/>
      </w:rPr>
    </w:pPr>
    <w:r>
      <w:rPr>
        <w:sz w:val="24"/>
      </w:rPr>
      <w:t>June 12, 20</w:t>
    </w:r>
    <w:r w:rsidR="0097451B">
      <w:rPr>
        <w:sz w:val="24"/>
      </w:rPr>
      <w:t>20</w:t>
    </w:r>
  </w:p>
  <w:p w14:paraId="09431F5C" w14:textId="77777777" w:rsidR="00900602" w:rsidRDefault="00900602" w:rsidP="00900602">
    <w:pPr>
      <w:ind w:left="20"/>
      <w:rPr>
        <w:sz w:val="24"/>
      </w:rPr>
    </w:pPr>
    <w:r>
      <w:rPr>
        <w:sz w:val="24"/>
      </w:rPr>
      <w:t xml:space="preserve">Page </w:t>
    </w:r>
    <w:r>
      <w:fldChar w:fldCharType="begin"/>
    </w:r>
    <w:r>
      <w:rPr>
        <w:sz w:val="24"/>
      </w:rPr>
      <w:instrText xml:space="preserve"> PAGE </w:instrText>
    </w:r>
    <w:r>
      <w:fldChar w:fldCharType="separate"/>
    </w:r>
    <w:r>
      <w:t>2</w:t>
    </w:r>
    <w:r>
      <w:fldChar w:fldCharType="end"/>
    </w:r>
  </w:p>
  <w:p w14:paraId="6F16D40D" w14:textId="77777777" w:rsidR="00900602" w:rsidRDefault="00900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26C0F"/>
    <w:multiLevelType w:val="hybridMultilevel"/>
    <w:tmpl w:val="7C428134"/>
    <w:lvl w:ilvl="0" w:tplc="31AAC75C">
      <w:start w:val="1"/>
      <w:numFmt w:val="decimal"/>
      <w:lvlText w:val="%1."/>
      <w:lvlJc w:val="left"/>
      <w:pPr>
        <w:ind w:left="410" w:hanging="271"/>
        <w:jc w:val="left"/>
      </w:pPr>
      <w:rPr>
        <w:rFonts w:ascii="Calibri" w:eastAsia="Calibri" w:hAnsi="Calibri" w:cs="Calibri" w:hint="default"/>
        <w:b/>
        <w:bCs/>
        <w:w w:val="100"/>
        <w:sz w:val="22"/>
        <w:szCs w:val="22"/>
        <w:lang w:val="en-US" w:eastAsia="en-US" w:bidi="en-US"/>
      </w:rPr>
    </w:lvl>
    <w:lvl w:ilvl="1" w:tplc="B614A7E6">
      <w:numFmt w:val="bullet"/>
      <w:lvlText w:val="•"/>
      <w:lvlJc w:val="left"/>
      <w:pPr>
        <w:ind w:left="1342" w:hanging="271"/>
      </w:pPr>
      <w:rPr>
        <w:rFonts w:hint="default"/>
        <w:lang w:val="en-US" w:eastAsia="en-US" w:bidi="en-US"/>
      </w:rPr>
    </w:lvl>
    <w:lvl w:ilvl="2" w:tplc="D03AE2DA">
      <w:numFmt w:val="bullet"/>
      <w:lvlText w:val="•"/>
      <w:lvlJc w:val="left"/>
      <w:pPr>
        <w:ind w:left="2264" w:hanging="271"/>
      </w:pPr>
      <w:rPr>
        <w:rFonts w:hint="default"/>
        <w:lang w:val="en-US" w:eastAsia="en-US" w:bidi="en-US"/>
      </w:rPr>
    </w:lvl>
    <w:lvl w:ilvl="3" w:tplc="57E8C62C">
      <w:numFmt w:val="bullet"/>
      <w:lvlText w:val="•"/>
      <w:lvlJc w:val="left"/>
      <w:pPr>
        <w:ind w:left="3186" w:hanging="271"/>
      </w:pPr>
      <w:rPr>
        <w:rFonts w:hint="default"/>
        <w:lang w:val="en-US" w:eastAsia="en-US" w:bidi="en-US"/>
      </w:rPr>
    </w:lvl>
    <w:lvl w:ilvl="4" w:tplc="3DEAB16E">
      <w:numFmt w:val="bullet"/>
      <w:lvlText w:val="•"/>
      <w:lvlJc w:val="left"/>
      <w:pPr>
        <w:ind w:left="4108" w:hanging="271"/>
      </w:pPr>
      <w:rPr>
        <w:rFonts w:hint="default"/>
        <w:lang w:val="en-US" w:eastAsia="en-US" w:bidi="en-US"/>
      </w:rPr>
    </w:lvl>
    <w:lvl w:ilvl="5" w:tplc="597202EC">
      <w:numFmt w:val="bullet"/>
      <w:lvlText w:val="•"/>
      <w:lvlJc w:val="left"/>
      <w:pPr>
        <w:ind w:left="5030" w:hanging="271"/>
      </w:pPr>
      <w:rPr>
        <w:rFonts w:hint="default"/>
        <w:lang w:val="en-US" w:eastAsia="en-US" w:bidi="en-US"/>
      </w:rPr>
    </w:lvl>
    <w:lvl w:ilvl="6" w:tplc="862A8C14">
      <w:numFmt w:val="bullet"/>
      <w:lvlText w:val="•"/>
      <w:lvlJc w:val="left"/>
      <w:pPr>
        <w:ind w:left="5952" w:hanging="271"/>
      </w:pPr>
      <w:rPr>
        <w:rFonts w:hint="default"/>
        <w:lang w:val="en-US" w:eastAsia="en-US" w:bidi="en-US"/>
      </w:rPr>
    </w:lvl>
    <w:lvl w:ilvl="7" w:tplc="6F685308">
      <w:numFmt w:val="bullet"/>
      <w:lvlText w:val="•"/>
      <w:lvlJc w:val="left"/>
      <w:pPr>
        <w:ind w:left="6874" w:hanging="271"/>
      </w:pPr>
      <w:rPr>
        <w:rFonts w:hint="default"/>
        <w:lang w:val="en-US" w:eastAsia="en-US" w:bidi="en-US"/>
      </w:rPr>
    </w:lvl>
    <w:lvl w:ilvl="8" w:tplc="AD786EE8">
      <w:numFmt w:val="bullet"/>
      <w:lvlText w:val="•"/>
      <w:lvlJc w:val="left"/>
      <w:pPr>
        <w:ind w:left="7796" w:hanging="271"/>
      </w:pPr>
      <w:rPr>
        <w:rFonts w:hint="default"/>
        <w:lang w:val="en-US" w:eastAsia="en-US" w:bidi="en-US"/>
      </w:rPr>
    </w:lvl>
  </w:abstractNum>
  <w:abstractNum w:abstractNumId="1" w15:restartNumberingAfterBreak="0">
    <w:nsid w:val="238B37A2"/>
    <w:multiLevelType w:val="hybridMultilevel"/>
    <w:tmpl w:val="0660DB0E"/>
    <w:lvl w:ilvl="0" w:tplc="5F269378">
      <w:start w:val="1"/>
      <w:numFmt w:val="decimal"/>
      <w:lvlText w:val="%1."/>
      <w:lvlJc w:val="left"/>
      <w:pPr>
        <w:ind w:left="950" w:hanging="271"/>
        <w:jc w:val="left"/>
      </w:pPr>
      <w:rPr>
        <w:rFonts w:ascii="Calibri" w:eastAsia="Calibri" w:hAnsi="Calibri" w:cs="Calibri" w:hint="default"/>
        <w:b/>
        <w:bCs/>
        <w:w w:val="100"/>
        <w:sz w:val="22"/>
        <w:szCs w:val="22"/>
        <w:lang w:val="en-US" w:eastAsia="en-US" w:bidi="en-US"/>
      </w:rPr>
    </w:lvl>
    <w:lvl w:ilvl="1" w:tplc="0E7E5B8A">
      <w:numFmt w:val="bullet"/>
      <w:lvlText w:val="•"/>
      <w:lvlJc w:val="left"/>
      <w:pPr>
        <w:ind w:left="1828" w:hanging="271"/>
      </w:pPr>
      <w:rPr>
        <w:rFonts w:hint="default"/>
        <w:lang w:val="en-US" w:eastAsia="en-US" w:bidi="en-US"/>
      </w:rPr>
    </w:lvl>
    <w:lvl w:ilvl="2" w:tplc="255813E8">
      <w:numFmt w:val="bullet"/>
      <w:lvlText w:val="•"/>
      <w:lvlJc w:val="left"/>
      <w:pPr>
        <w:ind w:left="2696" w:hanging="271"/>
      </w:pPr>
      <w:rPr>
        <w:rFonts w:hint="default"/>
        <w:lang w:val="en-US" w:eastAsia="en-US" w:bidi="en-US"/>
      </w:rPr>
    </w:lvl>
    <w:lvl w:ilvl="3" w:tplc="E7ECFCA8">
      <w:numFmt w:val="bullet"/>
      <w:lvlText w:val="•"/>
      <w:lvlJc w:val="left"/>
      <w:pPr>
        <w:ind w:left="3564" w:hanging="271"/>
      </w:pPr>
      <w:rPr>
        <w:rFonts w:hint="default"/>
        <w:lang w:val="en-US" w:eastAsia="en-US" w:bidi="en-US"/>
      </w:rPr>
    </w:lvl>
    <w:lvl w:ilvl="4" w:tplc="4EFA2D4E">
      <w:numFmt w:val="bullet"/>
      <w:lvlText w:val="•"/>
      <w:lvlJc w:val="left"/>
      <w:pPr>
        <w:ind w:left="4432" w:hanging="271"/>
      </w:pPr>
      <w:rPr>
        <w:rFonts w:hint="default"/>
        <w:lang w:val="en-US" w:eastAsia="en-US" w:bidi="en-US"/>
      </w:rPr>
    </w:lvl>
    <w:lvl w:ilvl="5" w:tplc="846A48F4">
      <w:numFmt w:val="bullet"/>
      <w:lvlText w:val="•"/>
      <w:lvlJc w:val="left"/>
      <w:pPr>
        <w:ind w:left="5300" w:hanging="271"/>
      </w:pPr>
      <w:rPr>
        <w:rFonts w:hint="default"/>
        <w:lang w:val="en-US" w:eastAsia="en-US" w:bidi="en-US"/>
      </w:rPr>
    </w:lvl>
    <w:lvl w:ilvl="6" w:tplc="071E6490">
      <w:numFmt w:val="bullet"/>
      <w:lvlText w:val="•"/>
      <w:lvlJc w:val="left"/>
      <w:pPr>
        <w:ind w:left="6168" w:hanging="271"/>
      </w:pPr>
      <w:rPr>
        <w:rFonts w:hint="default"/>
        <w:lang w:val="en-US" w:eastAsia="en-US" w:bidi="en-US"/>
      </w:rPr>
    </w:lvl>
    <w:lvl w:ilvl="7" w:tplc="82E65674">
      <w:numFmt w:val="bullet"/>
      <w:lvlText w:val="•"/>
      <w:lvlJc w:val="left"/>
      <w:pPr>
        <w:ind w:left="7036" w:hanging="271"/>
      </w:pPr>
      <w:rPr>
        <w:rFonts w:hint="default"/>
        <w:lang w:val="en-US" w:eastAsia="en-US" w:bidi="en-US"/>
      </w:rPr>
    </w:lvl>
    <w:lvl w:ilvl="8" w:tplc="0F4AFA96">
      <w:numFmt w:val="bullet"/>
      <w:lvlText w:val="•"/>
      <w:lvlJc w:val="left"/>
      <w:pPr>
        <w:ind w:left="7904" w:hanging="271"/>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0"/>
    <w:rsid w:val="00040851"/>
    <w:rsid w:val="00050AF2"/>
    <w:rsid w:val="00101E20"/>
    <w:rsid w:val="001E3E06"/>
    <w:rsid w:val="00232903"/>
    <w:rsid w:val="002E6DD6"/>
    <w:rsid w:val="00305F6A"/>
    <w:rsid w:val="00390F5A"/>
    <w:rsid w:val="003F64CF"/>
    <w:rsid w:val="0044009C"/>
    <w:rsid w:val="00482FB4"/>
    <w:rsid w:val="00511D09"/>
    <w:rsid w:val="00514D60"/>
    <w:rsid w:val="00583523"/>
    <w:rsid w:val="00607624"/>
    <w:rsid w:val="00641480"/>
    <w:rsid w:val="00727B96"/>
    <w:rsid w:val="007445DA"/>
    <w:rsid w:val="00750A31"/>
    <w:rsid w:val="0076626E"/>
    <w:rsid w:val="00784BF6"/>
    <w:rsid w:val="007C7836"/>
    <w:rsid w:val="00871F71"/>
    <w:rsid w:val="00883DD2"/>
    <w:rsid w:val="008D72CE"/>
    <w:rsid w:val="008E5177"/>
    <w:rsid w:val="00900602"/>
    <w:rsid w:val="00962A3F"/>
    <w:rsid w:val="0097451B"/>
    <w:rsid w:val="009E07FB"/>
    <w:rsid w:val="00A10D75"/>
    <w:rsid w:val="00A627E9"/>
    <w:rsid w:val="00A92C88"/>
    <w:rsid w:val="00AE456F"/>
    <w:rsid w:val="00AE4AF6"/>
    <w:rsid w:val="00AE6573"/>
    <w:rsid w:val="00BE2CD7"/>
    <w:rsid w:val="00BF50C2"/>
    <w:rsid w:val="00C53835"/>
    <w:rsid w:val="00C652E4"/>
    <w:rsid w:val="00CA4019"/>
    <w:rsid w:val="00CD279A"/>
    <w:rsid w:val="00CE2C95"/>
    <w:rsid w:val="00CF71B8"/>
    <w:rsid w:val="00D15D2E"/>
    <w:rsid w:val="00D274F2"/>
    <w:rsid w:val="00D32216"/>
    <w:rsid w:val="00DE4299"/>
    <w:rsid w:val="00E83754"/>
    <w:rsid w:val="00ED729F"/>
    <w:rsid w:val="00F30C3B"/>
    <w:rsid w:val="00F61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FA615"/>
  <w15:docId w15:val="{51CAE927-43A9-4966-AE5F-C5315910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40" w:hanging="27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10" w:hanging="27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0602"/>
    <w:pPr>
      <w:tabs>
        <w:tab w:val="center" w:pos="4680"/>
        <w:tab w:val="right" w:pos="9360"/>
      </w:tabs>
    </w:pPr>
  </w:style>
  <w:style w:type="character" w:customStyle="1" w:styleId="HeaderChar">
    <w:name w:val="Header Char"/>
    <w:basedOn w:val="DefaultParagraphFont"/>
    <w:link w:val="Header"/>
    <w:uiPriority w:val="99"/>
    <w:rsid w:val="00900602"/>
    <w:rPr>
      <w:rFonts w:ascii="Calibri" w:eastAsia="Calibri" w:hAnsi="Calibri" w:cs="Calibri"/>
      <w:lang w:bidi="en-US"/>
    </w:rPr>
  </w:style>
  <w:style w:type="paragraph" w:styleId="Footer">
    <w:name w:val="footer"/>
    <w:basedOn w:val="Normal"/>
    <w:link w:val="FooterChar"/>
    <w:uiPriority w:val="99"/>
    <w:unhideWhenUsed/>
    <w:rsid w:val="00900602"/>
    <w:pPr>
      <w:tabs>
        <w:tab w:val="center" w:pos="4680"/>
        <w:tab w:val="right" w:pos="9360"/>
      </w:tabs>
    </w:pPr>
  </w:style>
  <w:style w:type="character" w:customStyle="1" w:styleId="FooterChar">
    <w:name w:val="Footer Char"/>
    <w:basedOn w:val="DefaultParagraphFont"/>
    <w:link w:val="Footer"/>
    <w:uiPriority w:val="99"/>
    <w:rsid w:val="00900602"/>
    <w:rPr>
      <w:rFonts w:ascii="Calibri" w:eastAsia="Calibri" w:hAnsi="Calibri" w:cs="Calibri"/>
      <w:lang w:bidi="en-US"/>
    </w:rPr>
  </w:style>
  <w:style w:type="paragraph" w:styleId="BalloonText">
    <w:name w:val="Balloon Text"/>
    <w:basedOn w:val="Normal"/>
    <w:link w:val="BalloonTextChar"/>
    <w:uiPriority w:val="99"/>
    <w:semiHidden/>
    <w:unhideWhenUsed/>
    <w:rsid w:val="00AE6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573"/>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E67ECE047974087F23A1AB06D0E12" ma:contentTypeVersion="10" ma:contentTypeDescription="Create a new document." ma:contentTypeScope="" ma:versionID="ddfcdfbe046f567e7fa29c2a95ec6e1d">
  <xsd:schema xmlns:xsd="http://www.w3.org/2001/XMLSchema" xmlns:xs="http://www.w3.org/2001/XMLSchema" xmlns:p="http://schemas.microsoft.com/office/2006/metadata/properties" xmlns:ns3="48284144-3dba-4ad7-a557-f27936fb579a" targetNamespace="http://schemas.microsoft.com/office/2006/metadata/properties" ma:root="true" ma:fieldsID="af8efbfb897cf5b933dd68ff37dc3d57" ns3:_="">
    <xsd:import namespace="48284144-3dba-4ad7-a557-f27936fb5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84144-3dba-4ad7-a557-f27936fb5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7DAAC-2F13-42AC-9E24-4699AA4D2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84144-3dba-4ad7-a557-f27936fb5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7A8F9-D38F-49E3-A417-DF9B6421F0F5}">
  <ds:schemaRefs>
    <ds:schemaRef ds:uri="http://schemas.microsoft.com/sharepoint/v3/contenttype/forms"/>
  </ds:schemaRefs>
</ds:datastoreItem>
</file>

<file path=customXml/itemProps3.xml><?xml version="1.0" encoding="utf-8"?>
<ds:datastoreItem xmlns:ds="http://schemas.openxmlformats.org/officeDocument/2006/customXml" ds:itemID="{EC33BBAE-C536-4BDE-8F85-A900EC162E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36AA79-7CE2-4598-A8B3-561FD1031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Moore</dc:creator>
  <cp:lastModifiedBy>Cutri, David</cp:lastModifiedBy>
  <cp:revision>2</cp:revision>
  <dcterms:created xsi:type="dcterms:W3CDTF">2021-10-01T20:18:00Z</dcterms:created>
  <dcterms:modified xsi:type="dcterms:W3CDTF">2021-10-01T20:18:00Z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2018-08-01T00:00:00Z</vt:filetime>
  </property>
  <property fmtid="{D5CDD505-2E9C-101B-9397-08002B2CF9AE}" pid="3" name="Creator">
    <vt:lpwstr>Microsoft® Word 2016</vt:lpwstr>
  </property>
  <property fmtid="{D5CDD505-2E9C-101B-9397-08002B2CF9AE}" pid="4" name="LastSaved">
    <vt:filetime>2020-03-07T00:00:00Z</vt:filetime>
  </property>
  <property fmtid="{D5CDD505-2E9C-101B-9397-08002B2CF9AE}" pid="5" name="ContentTypeId">
    <vt:lpwstr>0x010100322E67ECE047974087F23A1AB06D0E12</vt:lpwstr>
  </property>
</Properties>
</file>