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D2C" w14:textId="77777777" w:rsidR="0035394E" w:rsidRPr="00455BAC" w:rsidRDefault="005F6E10" w:rsidP="005F6E10">
      <w:pPr>
        <w:jc w:val="center"/>
        <w:rPr>
          <w:color w:val="0000FF"/>
          <w:sz w:val="44"/>
          <w:szCs w:val="44"/>
        </w:rPr>
      </w:pPr>
      <w:r w:rsidRPr="00455BAC">
        <w:rPr>
          <w:color w:val="0000FF"/>
          <w:sz w:val="44"/>
          <w:szCs w:val="44"/>
        </w:rPr>
        <w:t>Understanding How Integrated Computational Thinking, Engineering Design, and Mathematics Can Help Students Solve Scientific and Technical Problems in Mathematics and Career Technical Education (INITIATE)</w:t>
      </w:r>
    </w:p>
    <w:p w14:paraId="3499E251" w14:textId="77777777" w:rsidR="005F6E10" w:rsidRDefault="005F6E10" w:rsidP="005F6E10">
      <w:pPr>
        <w:jc w:val="center"/>
        <w:rPr>
          <w:color w:val="0000FF"/>
          <w:sz w:val="28"/>
          <w:szCs w:val="28"/>
        </w:rPr>
      </w:pPr>
    </w:p>
    <w:p w14:paraId="0E8C1565" w14:textId="77777777" w:rsidR="005F6E10" w:rsidRDefault="005F6E10" w:rsidP="005F6E10">
      <w:pPr>
        <w:jc w:val="center"/>
        <w:rPr>
          <w:color w:val="0000FF"/>
          <w:sz w:val="28"/>
          <w:szCs w:val="28"/>
        </w:rPr>
      </w:pPr>
      <w:r>
        <w:rPr>
          <w:color w:val="0000FF"/>
          <w:sz w:val="28"/>
          <w:szCs w:val="28"/>
        </w:rPr>
        <w:t>NSF Award #</w:t>
      </w:r>
      <w:r w:rsidRPr="005F6E10">
        <w:rPr>
          <w:color w:val="0000FF"/>
          <w:sz w:val="28"/>
          <w:szCs w:val="28"/>
        </w:rPr>
        <w:t>1741784</w:t>
      </w:r>
    </w:p>
    <w:p w14:paraId="2F1D809C" w14:textId="77777777" w:rsidR="005F6E10" w:rsidRDefault="005F6E10" w:rsidP="005F6E10">
      <w:pPr>
        <w:jc w:val="center"/>
        <w:rPr>
          <w:color w:val="0000FF"/>
          <w:sz w:val="28"/>
          <w:szCs w:val="28"/>
        </w:rPr>
      </w:pPr>
    </w:p>
    <w:p w14:paraId="19DBAE00" w14:textId="5B5A411E" w:rsidR="005F6E10" w:rsidRDefault="00285800" w:rsidP="005F6E10">
      <w:pPr>
        <w:jc w:val="center"/>
        <w:rPr>
          <w:color w:val="0000FF"/>
          <w:sz w:val="28"/>
          <w:szCs w:val="28"/>
        </w:rPr>
      </w:pPr>
      <w:r>
        <w:rPr>
          <w:noProof/>
        </w:rPr>
        <w:drawing>
          <wp:inline distT="0" distB="0" distL="0" distR="0" wp14:anchorId="30811343" wp14:editId="62CCB260">
            <wp:extent cx="3139440" cy="945418"/>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6306" cy="983623"/>
                    </a:xfrm>
                    <a:prstGeom prst="rect">
                      <a:avLst/>
                    </a:prstGeom>
                    <a:noFill/>
                    <a:ln>
                      <a:noFill/>
                    </a:ln>
                  </pic:spPr>
                </pic:pic>
              </a:graphicData>
            </a:graphic>
          </wp:inline>
        </w:drawing>
      </w:r>
    </w:p>
    <w:p w14:paraId="1BAEFADD" w14:textId="56C6AD68" w:rsidR="005F6E10" w:rsidRDefault="000B5925" w:rsidP="005F6E10">
      <w:pPr>
        <w:jc w:val="center"/>
        <w:rPr>
          <w:b/>
          <w:color w:val="ED7D31" w:themeColor="accent2"/>
          <w:sz w:val="52"/>
          <w:szCs w:val="52"/>
        </w:rPr>
      </w:pPr>
      <w:r>
        <w:rPr>
          <w:b/>
          <w:color w:val="ED7D31" w:themeColor="accent2"/>
          <w:sz w:val="52"/>
          <w:szCs w:val="52"/>
        </w:rPr>
        <w:t xml:space="preserve">Relevant </w:t>
      </w:r>
      <w:r w:rsidR="00055EC4">
        <w:rPr>
          <w:b/>
          <w:color w:val="ED7D31" w:themeColor="accent2"/>
          <w:sz w:val="52"/>
          <w:szCs w:val="52"/>
        </w:rPr>
        <w:t xml:space="preserve">Summative </w:t>
      </w:r>
      <w:r w:rsidR="005F6E10" w:rsidRPr="005F6E10">
        <w:rPr>
          <w:b/>
          <w:color w:val="ED7D31" w:themeColor="accent2"/>
          <w:sz w:val="52"/>
          <w:szCs w:val="52"/>
        </w:rPr>
        <w:t>Evaluation Report</w:t>
      </w:r>
      <w:r>
        <w:rPr>
          <w:b/>
          <w:color w:val="ED7D31" w:themeColor="accent2"/>
          <w:sz w:val="52"/>
          <w:szCs w:val="52"/>
        </w:rPr>
        <w:t xml:space="preserve"> for</w:t>
      </w:r>
      <w:r w:rsidR="006D6864">
        <w:rPr>
          <w:b/>
          <w:color w:val="ED7D31" w:themeColor="accent2"/>
          <w:sz w:val="52"/>
          <w:szCs w:val="52"/>
        </w:rPr>
        <w:t xml:space="preserve"> Data in SAJSE paper</w:t>
      </w:r>
    </w:p>
    <w:p w14:paraId="2BB5CA07" w14:textId="755E6ACB" w:rsidR="00B038A6" w:rsidRPr="00285800" w:rsidRDefault="005F6E10" w:rsidP="00285800">
      <w:pPr>
        <w:jc w:val="center"/>
        <w:rPr>
          <w:b/>
          <w:color w:val="ED7D31" w:themeColor="accent2"/>
          <w:sz w:val="32"/>
          <w:szCs w:val="32"/>
        </w:rPr>
      </w:pPr>
      <w:r w:rsidRPr="005F6E10">
        <w:rPr>
          <w:b/>
          <w:color w:val="ED7D31" w:themeColor="accent2"/>
          <w:sz w:val="32"/>
          <w:szCs w:val="32"/>
        </w:rPr>
        <w:t>August 201</w:t>
      </w:r>
      <w:r w:rsidR="00055EC4">
        <w:rPr>
          <w:b/>
          <w:color w:val="ED7D31" w:themeColor="accent2"/>
          <w:sz w:val="32"/>
          <w:szCs w:val="32"/>
        </w:rPr>
        <w:t>7</w:t>
      </w:r>
      <w:r w:rsidRPr="005F6E10">
        <w:rPr>
          <w:b/>
          <w:color w:val="ED7D31" w:themeColor="accent2"/>
          <w:sz w:val="32"/>
          <w:szCs w:val="32"/>
        </w:rPr>
        <w:t xml:space="preserve"> – Ju</w:t>
      </w:r>
      <w:r w:rsidR="006E3CF0">
        <w:rPr>
          <w:b/>
          <w:color w:val="ED7D31" w:themeColor="accent2"/>
          <w:sz w:val="32"/>
          <w:szCs w:val="32"/>
        </w:rPr>
        <w:t>ne</w:t>
      </w:r>
      <w:r w:rsidRPr="005F6E10">
        <w:rPr>
          <w:b/>
          <w:color w:val="ED7D31" w:themeColor="accent2"/>
          <w:sz w:val="32"/>
          <w:szCs w:val="32"/>
        </w:rPr>
        <w:t xml:space="preserve"> 20</w:t>
      </w:r>
      <w:r w:rsidR="00055EC4">
        <w:rPr>
          <w:b/>
          <w:color w:val="ED7D31" w:themeColor="accent2"/>
          <w:sz w:val="32"/>
          <w:szCs w:val="32"/>
        </w:rPr>
        <w:t>21</w:t>
      </w:r>
    </w:p>
    <w:p w14:paraId="78142EE7" w14:textId="77777777" w:rsidR="00B038A6" w:rsidRDefault="00B038A6" w:rsidP="00B038A6">
      <w:pPr>
        <w:jc w:val="center"/>
        <w:rPr>
          <w:color w:val="0000FF"/>
          <w:sz w:val="28"/>
          <w:szCs w:val="28"/>
        </w:rPr>
      </w:pPr>
    </w:p>
    <w:p w14:paraId="3958553F" w14:textId="6128054C" w:rsidR="00B038A6" w:rsidRDefault="00B038A6" w:rsidP="00B038A6">
      <w:pPr>
        <w:jc w:val="center"/>
        <w:rPr>
          <w:color w:val="0000FF"/>
          <w:sz w:val="28"/>
          <w:szCs w:val="28"/>
        </w:rPr>
      </w:pPr>
      <w:r>
        <w:rPr>
          <w:color w:val="0000FF"/>
          <w:sz w:val="28"/>
          <w:szCs w:val="28"/>
        </w:rPr>
        <w:t>Prepared by Acumen Research and Evaluation</w:t>
      </w:r>
      <w:r w:rsidR="002F1200">
        <w:rPr>
          <w:color w:val="0000FF"/>
          <w:sz w:val="28"/>
          <w:szCs w:val="28"/>
        </w:rPr>
        <w:t>, LLC</w:t>
      </w:r>
    </w:p>
    <w:p w14:paraId="7445664F" w14:textId="77777777" w:rsidR="00D753D8" w:rsidRDefault="00D753D8" w:rsidP="00B038A6">
      <w:pPr>
        <w:rPr>
          <w:color w:val="0000FF"/>
          <w:sz w:val="28"/>
          <w:szCs w:val="28"/>
        </w:rPr>
      </w:pPr>
    </w:p>
    <w:p w14:paraId="66907050" w14:textId="77777777" w:rsidR="005F6E10" w:rsidRDefault="005F6E10" w:rsidP="005F6E10">
      <w:pPr>
        <w:pStyle w:val="Header"/>
      </w:pPr>
      <w:r>
        <w:rPr>
          <w:noProof/>
        </w:rPr>
        <w:drawing>
          <wp:inline distT="0" distB="0" distL="0" distR="0" wp14:anchorId="79194E52" wp14:editId="7A486966">
            <wp:extent cx="617982" cy="18142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men logo 2016.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857" cy="185787"/>
                    </a:xfrm>
                    <a:prstGeom prst="rect">
                      <a:avLst/>
                    </a:prstGeom>
                  </pic:spPr>
                </pic:pic>
              </a:graphicData>
            </a:graphic>
          </wp:inline>
        </w:drawing>
      </w:r>
    </w:p>
    <w:p w14:paraId="4E319F07" w14:textId="77777777" w:rsidR="005F6E10" w:rsidRPr="00D72A0E" w:rsidRDefault="005F6E10" w:rsidP="005F6E10">
      <w:pPr>
        <w:pStyle w:val="Header"/>
        <w:rPr>
          <w:rFonts w:asciiTheme="minorHAnsi" w:hAnsiTheme="minorHAnsi"/>
          <w:b/>
          <w:color w:val="FF0000"/>
          <w:sz w:val="16"/>
          <w:szCs w:val="16"/>
        </w:rPr>
      </w:pPr>
      <w:r w:rsidRPr="00D72A0E">
        <w:rPr>
          <w:rFonts w:asciiTheme="minorHAnsi" w:hAnsiTheme="minorHAnsi"/>
          <w:b/>
          <w:color w:val="FF0000"/>
          <w:sz w:val="16"/>
          <w:szCs w:val="16"/>
        </w:rPr>
        <w:t>Research and Evaluation, LLC</w:t>
      </w:r>
    </w:p>
    <w:p w14:paraId="23028141" w14:textId="77777777" w:rsidR="00055EC4" w:rsidRDefault="00055EC4" w:rsidP="005F6E10">
      <w:pPr>
        <w:pStyle w:val="Header"/>
        <w:rPr>
          <w:rFonts w:asciiTheme="minorHAnsi" w:hAnsiTheme="minorHAnsi"/>
          <w:b/>
          <w:color w:val="FF0000"/>
          <w:sz w:val="16"/>
          <w:szCs w:val="16"/>
        </w:rPr>
      </w:pPr>
      <w:r>
        <w:rPr>
          <w:rFonts w:asciiTheme="minorHAnsi" w:hAnsiTheme="minorHAnsi"/>
          <w:b/>
          <w:color w:val="FF0000"/>
          <w:sz w:val="16"/>
          <w:szCs w:val="16"/>
        </w:rPr>
        <w:t xml:space="preserve">2044 </w:t>
      </w:r>
      <w:proofErr w:type="spellStart"/>
      <w:r>
        <w:rPr>
          <w:rFonts w:asciiTheme="minorHAnsi" w:hAnsiTheme="minorHAnsi"/>
          <w:b/>
          <w:color w:val="FF0000"/>
          <w:sz w:val="16"/>
          <w:szCs w:val="16"/>
        </w:rPr>
        <w:t>Paran</w:t>
      </w:r>
      <w:proofErr w:type="spellEnd"/>
      <w:r>
        <w:rPr>
          <w:rFonts w:asciiTheme="minorHAnsi" w:hAnsiTheme="minorHAnsi"/>
          <w:b/>
          <w:color w:val="FF0000"/>
          <w:sz w:val="16"/>
          <w:szCs w:val="16"/>
        </w:rPr>
        <w:t xml:space="preserve"> Road</w:t>
      </w:r>
    </w:p>
    <w:p w14:paraId="02AF921F" w14:textId="77777777" w:rsidR="00055EC4" w:rsidRDefault="00055EC4" w:rsidP="005F6E10">
      <w:pPr>
        <w:pStyle w:val="Header"/>
        <w:rPr>
          <w:rFonts w:asciiTheme="minorHAnsi" w:hAnsiTheme="minorHAnsi"/>
          <w:b/>
          <w:color w:val="FF0000"/>
          <w:sz w:val="16"/>
          <w:szCs w:val="16"/>
        </w:rPr>
      </w:pPr>
      <w:r>
        <w:rPr>
          <w:rFonts w:asciiTheme="minorHAnsi" w:hAnsiTheme="minorHAnsi"/>
          <w:b/>
          <w:color w:val="FF0000"/>
          <w:sz w:val="16"/>
          <w:szCs w:val="16"/>
        </w:rPr>
        <w:t>Cookeville, TN  38506</w:t>
      </w:r>
    </w:p>
    <w:p w14:paraId="38EB3767" w14:textId="1F952A89" w:rsidR="00B038A6" w:rsidRPr="00D72A0E" w:rsidRDefault="00055EC4" w:rsidP="005F6E10">
      <w:pPr>
        <w:pStyle w:val="Header"/>
        <w:rPr>
          <w:rFonts w:asciiTheme="minorHAnsi" w:hAnsiTheme="minorHAnsi"/>
          <w:b/>
          <w:color w:val="FF0000"/>
          <w:sz w:val="16"/>
          <w:szCs w:val="16"/>
        </w:rPr>
      </w:pPr>
      <w:r>
        <w:rPr>
          <w:rFonts w:asciiTheme="minorHAnsi" w:hAnsiTheme="minorHAnsi"/>
          <w:b/>
          <w:color w:val="FF0000"/>
          <w:sz w:val="16"/>
          <w:szCs w:val="16"/>
        </w:rPr>
        <w:t>419-973-7405</w:t>
      </w:r>
      <w:r w:rsidR="005F6E10" w:rsidRPr="00D72A0E">
        <w:rPr>
          <w:rFonts w:asciiTheme="minorHAnsi" w:hAnsiTheme="minorHAnsi"/>
          <w:b/>
          <w:color w:val="FF0000"/>
          <w:sz w:val="16"/>
          <w:szCs w:val="16"/>
        </w:rPr>
        <w:t xml:space="preserve">                                              </w:t>
      </w:r>
    </w:p>
    <w:p w14:paraId="40298D41" w14:textId="77777777" w:rsidR="00D753D8" w:rsidRDefault="005F6E10" w:rsidP="005F6E10">
      <w:pPr>
        <w:pStyle w:val="Header"/>
        <w:rPr>
          <w:rFonts w:asciiTheme="minorHAnsi" w:hAnsiTheme="minorHAnsi"/>
          <w:b/>
          <w:color w:val="FF0000"/>
          <w:sz w:val="16"/>
          <w:szCs w:val="16"/>
        </w:rPr>
      </w:pPr>
      <w:r w:rsidRPr="00D72A0E">
        <w:rPr>
          <w:rFonts w:asciiTheme="minorHAnsi" w:hAnsiTheme="minorHAnsi"/>
          <w:b/>
          <w:color w:val="FF0000"/>
          <w:sz w:val="16"/>
          <w:szCs w:val="16"/>
        </w:rPr>
        <w:t xml:space="preserve"> “Accuracy of observation is the equivalent</w:t>
      </w:r>
    </w:p>
    <w:p w14:paraId="32B9471B" w14:textId="2572CCDA" w:rsidR="005F6E10" w:rsidRDefault="005F6E10" w:rsidP="005F6E10">
      <w:pPr>
        <w:pStyle w:val="Header"/>
        <w:rPr>
          <w:rFonts w:asciiTheme="minorHAnsi" w:hAnsiTheme="minorHAnsi"/>
          <w:b/>
          <w:color w:val="FF0000"/>
          <w:sz w:val="16"/>
          <w:szCs w:val="16"/>
        </w:rPr>
      </w:pPr>
      <w:r w:rsidRPr="00D72A0E">
        <w:rPr>
          <w:rFonts w:asciiTheme="minorHAnsi" w:hAnsiTheme="minorHAnsi"/>
          <w:b/>
          <w:color w:val="FF0000"/>
          <w:sz w:val="16"/>
          <w:szCs w:val="16"/>
        </w:rPr>
        <w:t xml:space="preserve"> of accuracy of thinking.”---Wallace Stevens</w:t>
      </w:r>
    </w:p>
    <w:p w14:paraId="08E9A4BD" w14:textId="77777777" w:rsidR="00D72A0E" w:rsidRDefault="00D72A0E" w:rsidP="005F6E10">
      <w:pPr>
        <w:pStyle w:val="Header"/>
        <w:rPr>
          <w:rFonts w:asciiTheme="minorHAnsi" w:hAnsiTheme="minorHAnsi"/>
          <w:b/>
          <w:color w:val="FF0000"/>
          <w:sz w:val="16"/>
          <w:szCs w:val="16"/>
        </w:rPr>
      </w:pPr>
    </w:p>
    <w:p w14:paraId="0661968B" w14:textId="77777777" w:rsidR="00D72A0E" w:rsidRPr="00D72A0E" w:rsidRDefault="00D72A0E" w:rsidP="005F6E10">
      <w:pPr>
        <w:pStyle w:val="Header"/>
        <w:rPr>
          <w:rFonts w:asciiTheme="minorHAnsi" w:hAnsiTheme="minorHAnsi"/>
          <w:b/>
          <w:color w:val="FF0000"/>
          <w:sz w:val="16"/>
          <w:szCs w:val="16"/>
        </w:rPr>
      </w:pPr>
    </w:p>
    <w:p w14:paraId="68D90898" w14:textId="77777777" w:rsidR="00B038A6" w:rsidRDefault="00B038A6" w:rsidP="005F6E10">
      <w:pPr>
        <w:pStyle w:val="Header"/>
        <w:rPr>
          <w:rFonts w:asciiTheme="minorHAnsi" w:hAnsiTheme="minorHAnsi"/>
          <w:b/>
          <w:color w:val="FF0000"/>
          <w:sz w:val="18"/>
          <w:szCs w:val="18"/>
        </w:rPr>
      </w:pPr>
    </w:p>
    <w:p w14:paraId="692B8E9A" w14:textId="77777777" w:rsidR="00B038A6" w:rsidRPr="008F7C00" w:rsidRDefault="00B038A6" w:rsidP="005F6E10">
      <w:pPr>
        <w:pStyle w:val="Header"/>
        <w:rPr>
          <w:rFonts w:asciiTheme="minorHAnsi" w:hAnsiTheme="minorHAnsi"/>
          <w:b/>
          <w:color w:val="FF0000"/>
          <w:sz w:val="18"/>
          <w:szCs w:val="1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tblGrid>
      <w:tr w:rsidR="00027971" w:rsidRPr="006279D6" w14:paraId="686B436A" w14:textId="77777777" w:rsidTr="006279D6">
        <w:tc>
          <w:tcPr>
            <w:tcW w:w="805" w:type="dxa"/>
          </w:tcPr>
          <w:p w14:paraId="6A73680A" w14:textId="4126CCCF" w:rsidR="00027971" w:rsidRDefault="00027971" w:rsidP="00CE6F92">
            <w:pPr>
              <w:rPr>
                <w:color w:val="0000FF"/>
                <w:sz w:val="28"/>
                <w:szCs w:val="28"/>
              </w:rPr>
            </w:pPr>
          </w:p>
        </w:tc>
      </w:tr>
      <w:tr w:rsidR="00027971" w:rsidRPr="006279D6" w14:paraId="36DD654A" w14:textId="77777777" w:rsidTr="006279D6">
        <w:tc>
          <w:tcPr>
            <w:tcW w:w="805" w:type="dxa"/>
          </w:tcPr>
          <w:p w14:paraId="33ED6F8E" w14:textId="088BF8DE" w:rsidR="00027971" w:rsidRDefault="00027971" w:rsidP="006279D6">
            <w:pPr>
              <w:pStyle w:val="ListParagraph"/>
              <w:spacing w:line="480" w:lineRule="auto"/>
              <w:ind w:left="0"/>
              <w:jc w:val="right"/>
              <w:rPr>
                <w:color w:val="0000FF"/>
                <w:sz w:val="28"/>
                <w:szCs w:val="28"/>
              </w:rPr>
            </w:pPr>
          </w:p>
        </w:tc>
      </w:tr>
    </w:tbl>
    <w:p w14:paraId="5C946A66" w14:textId="77777777" w:rsidR="005F6E10" w:rsidRDefault="006B5F89" w:rsidP="00027971">
      <w:pPr>
        <w:jc w:val="center"/>
        <w:rPr>
          <w:color w:val="0000FF"/>
          <w:sz w:val="36"/>
          <w:szCs w:val="36"/>
        </w:rPr>
      </w:pPr>
      <w:r w:rsidRPr="00EF28E2">
        <w:rPr>
          <w:color w:val="0000FF"/>
          <w:sz w:val="36"/>
          <w:szCs w:val="36"/>
        </w:rPr>
        <w:lastRenderedPageBreak/>
        <w:t>Executive Summary</w:t>
      </w:r>
    </w:p>
    <w:p w14:paraId="1EEB1CEB" w14:textId="22311646" w:rsidR="00E25719" w:rsidRDefault="00E25719" w:rsidP="006B5F89">
      <w:r>
        <w:t xml:space="preserve">Three Cohorts </w:t>
      </w:r>
      <w:r w:rsidR="009970F6">
        <w:t xml:space="preserve">of secondary school teachers </w:t>
      </w:r>
      <w:r>
        <w:t xml:space="preserve">participated in the INITIATE professional development program. Combined, a total of 23 mathematics teachers, </w:t>
      </w:r>
      <w:r w:rsidR="009970F6">
        <w:t xml:space="preserve">9 career technology education teachers, and 3 other teachers (teacher’s aids, special education) participated. </w:t>
      </w:r>
      <w:r w:rsidR="009970F6" w:rsidRPr="005974B7">
        <w:t>The mathematics teachers, collectively, t</w:t>
      </w:r>
      <w:r w:rsidR="009970F6">
        <w:t>aught</w:t>
      </w:r>
      <w:r w:rsidR="009970F6" w:rsidRPr="005974B7">
        <w:t xml:space="preserve"> Algebra 1, Geometry, Trigonometry and Pre-Calculus, Calculus I and II, and Statistics. The Career Technology </w:t>
      </w:r>
      <w:r w:rsidR="009970F6">
        <w:t xml:space="preserve">Education (CTE) </w:t>
      </w:r>
      <w:r w:rsidR="009970F6" w:rsidRPr="005974B7">
        <w:t>teacher</w:t>
      </w:r>
      <w:r w:rsidR="00B10D40">
        <w:t>s</w:t>
      </w:r>
      <w:r w:rsidR="009970F6" w:rsidRPr="005974B7">
        <w:t xml:space="preserve"> </w:t>
      </w:r>
      <w:r w:rsidR="009970F6">
        <w:t>taught</w:t>
      </w:r>
      <w:r w:rsidR="009970F6" w:rsidRPr="005974B7">
        <w:t xml:space="preserve"> Electronics (3 levels) and Manufacturing Technology</w:t>
      </w:r>
      <w:r w:rsidR="009970F6">
        <w:t xml:space="preserve">. Teachers came from Toledo Public Schools and Washington Local Schools (a suburb of Toledo). </w:t>
      </w:r>
    </w:p>
    <w:p w14:paraId="1CB05373" w14:textId="09A6836F" w:rsidR="001100B7" w:rsidRDefault="009970F6" w:rsidP="006B5F89">
      <w:r>
        <w:t xml:space="preserve">To assess evaluation questions </w:t>
      </w:r>
      <w:r w:rsidR="00B10D40">
        <w:t>that examined the effect INITIATE had on teachers</w:t>
      </w:r>
      <w:r>
        <w:t xml:space="preserve">, evaluators conducted direct observations of teachers teaching </w:t>
      </w:r>
      <w:r w:rsidR="002F1200" w:rsidRPr="009970F6">
        <w:t xml:space="preserve">what they considered an inquiry-based lesson prior to participation in the INITIATE Summer Institute </w:t>
      </w:r>
      <w:r>
        <w:t xml:space="preserve">and a </w:t>
      </w:r>
      <w:r w:rsidR="00413C40">
        <w:t>project</w:t>
      </w:r>
      <w:r>
        <w:t>-based lesson developed as a result of participating in the Summer Institute in the following academic year</w:t>
      </w:r>
      <w:r w:rsidR="002F1200" w:rsidRPr="009970F6">
        <w:t xml:space="preserve">. </w:t>
      </w:r>
      <w:r>
        <w:t xml:space="preserve">Direct observations were made for Cohorts 1 and 2. </w:t>
      </w:r>
      <w:r w:rsidR="002F1200" w:rsidRPr="009970F6">
        <w:t>Using the E</w:t>
      </w:r>
      <w:r w:rsidR="00DC1747" w:rsidRPr="009970F6">
        <w:t>lectronic Quality of I</w:t>
      </w:r>
      <w:r w:rsidR="00E84171" w:rsidRPr="009970F6">
        <w:t>nquiry</w:t>
      </w:r>
      <w:r w:rsidR="00DC1747" w:rsidRPr="009970F6">
        <w:t xml:space="preserve"> Protocol</w:t>
      </w:r>
      <w:r w:rsidR="00E12E06">
        <w:t xml:space="preserve"> (EQUIP)</w:t>
      </w:r>
      <w:r w:rsidR="002F1200" w:rsidRPr="009970F6">
        <w:t xml:space="preserve">, observations were rated on four factors of inquiry-based instruction: Instructional, Discourse, Assessment, and Curriculum. These scores </w:t>
      </w:r>
      <w:r w:rsidR="00C13A33" w:rsidRPr="009970F6">
        <w:t xml:space="preserve">were </w:t>
      </w:r>
      <w:r w:rsidR="002F1200" w:rsidRPr="009970F6">
        <w:t>compared with post-Institute observation</w:t>
      </w:r>
      <w:r w:rsidR="00232067" w:rsidRPr="009970F6">
        <w:t xml:space="preserve"> scores to</w:t>
      </w:r>
      <w:r w:rsidR="002F1200" w:rsidRPr="009970F6">
        <w:t xml:space="preserve"> examine growth and possible influence of the INITIATE project.</w:t>
      </w:r>
      <w:r w:rsidR="00C13A33" w:rsidRPr="009970F6">
        <w:t xml:space="preserve"> Teachers showed small to moderate gains across each of the four factors, sometimes moving from a Developing Inquiry to the Proficient Inquiry category overall.</w:t>
      </w:r>
    </w:p>
    <w:p w14:paraId="356D10D2" w14:textId="1C826AEE" w:rsidR="00560A35" w:rsidRPr="009970F6" w:rsidRDefault="00FE028E" w:rsidP="006B5F89">
      <w:r w:rsidRPr="009970F6">
        <w:t xml:space="preserve">A test of computational thinking was given to the teachers </w:t>
      </w:r>
      <w:r w:rsidR="007510E5">
        <w:t xml:space="preserve">from all three Cohorts </w:t>
      </w:r>
      <w:r w:rsidRPr="009970F6">
        <w:t xml:space="preserve">on the first and last days of the </w:t>
      </w:r>
      <w:r w:rsidR="007510E5">
        <w:t>SI</w:t>
      </w:r>
      <w:r w:rsidRPr="009970F6">
        <w:t xml:space="preserve"> as well as</w:t>
      </w:r>
      <w:r w:rsidR="007510E5">
        <w:t xml:space="preserve"> approximately</w:t>
      </w:r>
      <w:r w:rsidRPr="009970F6">
        <w:t xml:space="preserve"> eight months after the Institute. A scoring rubric </w:t>
      </w:r>
      <w:r w:rsidR="00DC1747" w:rsidRPr="009970F6">
        <w:t>was</w:t>
      </w:r>
      <w:r w:rsidRPr="009970F6">
        <w:t xml:space="preserve"> develop</w:t>
      </w:r>
      <w:r w:rsidR="00DC1747" w:rsidRPr="009970F6">
        <w:t>ed by a team comprised of INITIATE content experts and Acumen measurement experts.</w:t>
      </w:r>
      <w:r w:rsidRPr="009970F6">
        <w:t xml:space="preserve"> </w:t>
      </w:r>
      <w:r w:rsidR="00DC1747" w:rsidRPr="009970F6">
        <w:t>It</w:t>
      </w:r>
      <w:r w:rsidRPr="009970F6">
        <w:t xml:space="preserve"> was developed based upon computational thinking best practices. </w:t>
      </w:r>
      <w:r w:rsidR="00B10D40">
        <w:t xml:space="preserve">Interrater </w:t>
      </w:r>
      <w:r w:rsidRPr="009970F6">
        <w:t xml:space="preserve">reliability was established between three members of Acumen and INITIATE. These three raters then scored all of the completed tests. Results showed </w:t>
      </w:r>
      <w:r w:rsidR="007510E5">
        <w:t>statistically significant gain and a</w:t>
      </w:r>
      <w:r w:rsidRPr="009970F6">
        <w:t xml:space="preserve"> large</w:t>
      </w:r>
      <w:r w:rsidR="007510E5">
        <w:t xml:space="preserve"> effect size gain (Hedge’s g)</w:t>
      </w:r>
      <w:r w:rsidRPr="009970F6">
        <w:t xml:space="preserve"> in teachers’ knowledge of computational thinking after participating in the Summer Institute. </w:t>
      </w:r>
    </w:p>
    <w:p w14:paraId="700D031E" w14:textId="3E3D8A56" w:rsidR="007510E5" w:rsidRDefault="003D5AB7" w:rsidP="006B5F89">
      <w:r>
        <w:br w:type="page"/>
      </w:r>
    </w:p>
    <w:p w14:paraId="3A540087" w14:textId="6EF716DA" w:rsidR="004079C3" w:rsidRPr="00226802" w:rsidRDefault="004079C3" w:rsidP="00226802">
      <w:pPr>
        <w:pStyle w:val="ListParagraph"/>
        <w:numPr>
          <w:ilvl w:val="0"/>
          <w:numId w:val="1"/>
        </w:numPr>
        <w:rPr>
          <w:color w:val="0000FF"/>
          <w:sz w:val="28"/>
          <w:szCs w:val="28"/>
        </w:rPr>
      </w:pPr>
      <w:r w:rsidRPr="00226802">
        <w:rPr>
          <w:color w:val="0000FF"/>
          <w:sz w:val="28"/>
          <w:szCs w:val="28"/>
        </w:rPr>
        <w:lastRenderedPageBreak/>
        <w:t>Teaching Practice</w:t>
      </w:r>
    </w:p>
    <w:p w14:paraId="43A5176E" w14:textId="49B66CBD" w:rsidR="00D72A0E" w:rsidRDefault="004F13EC" w:rsidP="00D72A0E">
      <w:r>
        <w:t>For Cohorts 1 and 2</w:t>
      </w:r>
      <w:r w:rsidR="004079C3">
        <w:t>, Acumen visited each of the participating teachers’ classroom</w:t>
      </w:r>
      <w:r w:rsidR="00ED75E4">
        <w:t>s</w:t>
      </w:r>
      <w:r w:rsidR="004079C3">
        <w:t xml:space="preserve"> </w:t>
      </w:r>
      <w:r>
        <w:t xml:space="preserve">in the spring prior to participation </w:t>
      </w:r>
      <w:r w:rsidR="004079C3">
        <w:t xml:space="preserve">to observe a typical </w:t>
      </w:r>
      <w:r w:rsidR="00ED75E4">
        <w:t xml:space="preserve">inquiry-based </w:t>
      </w:r>
      <w:r w:rsidR="004079C3">
        <w:t>math or computer science</w:t>
      </w:r>
      <w:r w:rsidR="00E91FCA">
        <w:t xml:space="preserve"> lesson</w:t>
      </w:r>
      <w:r w:rsidR="00D72A0E">
        <w:t xml:space="preserve">. </w:t>
      </w:r>
      <w:r>
        <w:t xml:space="preserve">The three special education support teachers from Cohort 2 were not observed as they did not teach lessons. </w:t>
      </w:r>
      <w:r w:rsidR="0094251F">
        <w:t>Subsequent observations were made in the academic year following the teachers’ completion of the Summer Institute</w:t>
      </w:r>
      <w:r w:rsidR="00826FE0">
        <w:t xml:space="preserve"> (SI)</w:t>
      </w:r>
      <w:r w:rsidR="0094251F">
        <w:t xml:space="preserve">. The purpose of the post-Institute observations was to observe teachers delivering one or both of the lessons they developed during the </w:t>
      </w:r>
      <w:r w:rsidR="00826FE0">
        <w:t>SI</w:t>
      </w:r>
      <w:r w:rsidR="0094251F">
        <w:t xml:space="preserve">. </w:t>
      </w:r>
      <w:r w:rsidR="00E91FCA">
        <w:t>The evaluation also examine</w:t>
      </w:r>
      <w:r w:rsidR="0094251F">
        <w:t>d</w:t>
      </w:r>
      <w:r w:rsidR="00E91FCA">
        <w:t xml:space="preserve"> degree to which teachers implemented the INITIATE model as designed. </w:t>
      </w:r>
      <w:r w:rsidR="00D72A0E">
        <w:t>Observations were scored using the Electronic Quality of Inquiry Protocol (EQUIP) (Inquiry In Motion, Clemson University)</w:t>
      </w:r>
      <w:r w:rsidR="004D33DC">
        <w:t>.</w:t>
      </w:r>
      <w:r w:rsidR="00D72A0E">
        <w:t xml:space="preserve"> </w:t>
      </w:r>
      <w:r w:rsidR="004B067B">
        <w:t>Cohort 3</w:t>
      </w:r>
      <w:r w:rsidR="00826FE0">
        <w:t>, which was not observed directly,</w:t>
      </w:r>
      <w:r w:rsidR="004B067B">
        <w:t xml:space="preserve"> is discussed in a separate section.</w:t>
      </w:r>
    </w:p>
    <w:p w14:paraId="2F80AF61" w14:textId="1D7607AB" w:rsidR="00D72A0E" w:rsidRDefault="00D72A0E" w:rsidP="00D72A0E">
      <w:r>
        <w:t xml:space="preserve">The EQUIP rubric measures four factors associated with inquiry instruction and based upon NGSS—instruction factors, discourse factors, assessment factors, and curriculum factors. Within these four factors are 19 indicators. Scores </w:t>
      </w:r>
      <w:r w:rsidR="0094251F">
        <w:t xml:space="preserve">from pre- and post-Institute observations were </w:t>
      </w:r>
      <w:r>
        <w:t xml:space="preserve">compared to determine if there </w:t>
      </w:r>
      <w:r w:rsidR="000D501D">
        <w:t>were</w:t>
      </w:r>
      <w:r>
        <w:t xml:space="preserve"> areas of improvement between the observations. The </w:t>
      </w:r>
      <w:r w:rsidR="0094251F">
        <w:t>rating scale</w:t>
      </w:r>
      <w:r>
        <w:t xml:space="preserve"> include</w:t>
      </w:r>
      <w:r w:rsidR="00F270AE">
        <w:t>s</w:t>
      </w:r>
      <w:r>
        <w:t xml:space="preserve"> four levels—pre-inquiry, developing, proficient, and exemplary. Researchers have found a strong positive relationship between proficient scores on the EQUIP and student achievement (</w:t>
      </w:r>
      <w:r w:rsidRPr="00B050F2">
        <w:t>Marshall &amp; Horton, 2011</w:t>
      </w:r>
      <w:r>
        <w:t xml:space="preserve">). </w:t>
      </w:r>
    </w:p>
    <w:p w14:paraId="0BB27F6E" w14:textId="63047D28" w:rsidR="004D33DC" w:rsidRDefault="00D72A0E" w:rsidP="00D72A0E">
      <w:r>
        <w:t>The EQUIP observation categories were converted to a</w:t>
      </w:r>
      <w:r w:rsidR="00181FB4">
        <w:t xml:space="preserve"> four-point </w:t>
      </w:r>
      <w:r>
        <w:t xml:space="preserve">ordinal scale (pre-inquiry became a 1, developing became a 2, etc.) to better analyze the data. </w:t>
      </w:r>
      <w:r w:rsidR="004D33DC">
        <w:t xml:space="preserve">Previous evaluations </w:t>
      </w:r>
      <w:r w:rsidR="00ED75E4">
        <w:t xml:space="preserve">(e.g., NURTURES—University of Toledo NSF MSP) </w:t>
      </w:r>
      <w:r w:rsidR="004D33DC">
        <w:t>showed</w:t>
      </w:r>
      <w:r>
        <w:t xml:space="preserve"> the EQUIP observations measure our desired trait (i.e. inquiry facets of instruction</w:t>
      </w:r>
      <w:r w:rsidR="00ED75E4">
        <w:t>)</w:t>
      </w:r>
      <w:r w:rsidR="004D33DC">
        <w:t xml:space="preserve">. </w:t>
      </w:r>
    </w:p>
    <w:p w14:paraId="5F91E543" w14:textId="2430085A" w:rsidR="002A00D1" w:rsidRDefault="004D7B9C" w:rsidP="004D33DC">
      <w:r>
        <w:t>All</w:t>
      </w:r>
      <w:r w:rsidR="009F4898">
        <w:t xml:space="preserve"> six </w:t>
      </w:r>
      <w:r w:rsidR="004F13EC">
        <w:t xml:space="preserve">Cohort 1 </w:t>
      </w:r>
      <w:r w:rsidR="009F4898">
        <w:t>teachers were observed twice</w:t>
      </w:r>
      <w:r>
        <w:t xml:space="preserve"> (i.e.</w:t>
      </w:r>
      <w:r w:rsidR="002E1B36">
        <w:t>,</w:t>
      </w:r>
      <w:r>
        <w:t xml:space="preserve"> before participating in the institute and after the institute)</w:t>
      </w:r>
      <w:r w:rsidR="009F4898">
        <w:t xml:space="preserve">. </w:t>
      </w:r>
      <w:r w:rsidR="004B067B">
        <w:t>Of the 1</w:t>
      </w:r>
      <w:r w:rsidR="000D501D">
        <w:t>4</w:t>
      </w:r>
      <w:r w:rsidR="004B067B">
        <w:t xml:space="preserve"> Cohort 2 content teachers, 12 were observed both pre and post SI. </w:t>
      </w:r>
      <w:r w:rsidR="00F3074C">
        <w:t>Total</w:t>
      </w:r>
      <w:r w:rsidR="00C86B3E">
        <w:t xml:space="preserve"> number of</w:t>
      </w:r>
      <w:r w:rsidR="00F3074C">
        <w:t xml:space="preserve"> participants providing a pre and post SI observation score was 1</w:t>
      </w:r>
      <w:r w:rsidR="00C86B3E">
        <w:t>8</w:t>
      </w:r>
      <w:r w:rsidR="00F3074C">
        <w:t xml:space="preserve">. </w:t>
      </w:r>
      <w:r w:rsidR="004D33DC">
        <w:t xml:space="preserve">On average, the </w:t>
      </w:r>
      <w:r w:rsidR="00F3074C">
        <w:t>1</w:t>
      </w:r>
      <w:r>
        <w:t>8</w:t>
      </w:r>
      <w:r w:rsidR="004D33DC">
        <w:t xml:space="preserve"> classes observed were comprised of 4</w:t>
      </w:r>
      <w:r w:rsidR="009F4898">
        <w:t>6</w:t>
      </w:r>
      <w:r w:rsidR="004D33DC">
        <w:t xml:space="preserve">% female students, </w:t>
      </w:r>
      <w:r w:rsidR="009F4898">
        <w:t>5</w:t>
      </w:r>
      <w:r w:rsidR="004D33DC">
        <w:t>7% minority students, and a class size of 1</w:t>
      </w:r>
      <w:r w:rsidR="004C71CD">
        <w:t>7</w:t>
      </w:r>
      <w:r w:rsidR="004D33DC">
        <w:t xml:space="preserve"> (class size ranged from </w:t>
      </w:r>
      <w:r w:rsidR="004C71CD">
        <w:t>10 to 24</w:t>
      </w:r>
      <w:r w:rsidR="004D33DC">
        <w:t xml:space="preserve">). </w:t>
      </w:r>
      <w:r w:rsidR="004B067B">
        <w:t>The following sections summarize the Cohort 1 and 2 teachers’ performances across the four different inquiry-based factors measured by the EQUIP instrument.</w:t>
      </w:r>
    </w:p>
    <w:p w14:paraId="7078183E" w14:textId="54594333" w:rsidR="004D33DC" w:rsidRPr="004D33DC" w:rsidRDefault="004D33DC" w:rsidP="004D33DC">
      <w:pPr>
        <w:rPr>
          <w:i/>
        </w:rPr>
      </w:pPr>
      <w:r w:rsidRPr="004D33DC">
        <w:rPr>
          <w:i/>
          <w:color w:val="0000FF"/>
        </w:rPr>
        <w:t>Instructional</w:t>
      </w:r>
    </w:p>
    <w:p w14:paraId="2D52B4C6" w14:textId="2D588D53" w:rsidR="0097402A" w:rsidRDefault="004D33DC" w:rsidP="004D33DC">
      <w:r>
        <w:t xml:space="preserve">Table </w:t>
      </w:r>
      <w:r w:rsidR="00C14DED">
        <w:t>1</w:t>
      </w:r>
      <w:r w:rsidR="00C14DED">
        <w:t xml:space="preserve"> </w:t>
      </w:r>
      <w:r>
        <w:t xml:space="preserve">reports the ratings for teachers’ performance on the five constructs measured under the Instructional factor. </w:t>
      </w:r>
      <w:r w:rsidR="009E6F45">
        <w:t>Prior to participation in INITIATE the teachers were already performing at an acceptable level (Proficient) on this factor. Overall, the</w:t>
      </w:r>
      <w:r>
        <w:t xml:space="preserve"> </w:t>
      </w:r>
      <w:r w:rsidR="009E6F45">
        <w:t>median rating showed an increase in the post-Institute observations on the</w:t>
      </w:r>
      <w:r>
        <w:t xml:space="preserve"> </w:t>
      </w:r>
      <w:r w:rsidR="0097402A">
        <w:t xml:space="preserve">“Instructional Strategies,” the </w:t>
      </w:r>
      <w:r>
        <w:t>“</w:t>
      </w:r>
      <w:r w:rsidR="007748FA">
        <w:t>O</w:t>
      </w:r>
      <w:r>
        <w:t>rd</w:t>
      </w:r>
      <w:r w:rsidR="009E6F45">
        <w:t xml:space="preserve">er of </w:t>
      </w:r>
      <w:r w:rsidR="007748FA">
        <w:t>I</w:t>
      </w:r>
      <w:r w:rsidR="009E6F45">
        <w:t>nstruction</w:t>
      </w:r>
      <w:r w:rsidR="0097402A">
        <w:t>,</w:t>
      </w:r>
      <w:r w:rsidR="009E6F45">
        <w:t xml:space="preserve">” </w:t>
      </w:r>
      <w:r w:rsidR="0097402A">
        <w:t xml:space="preserve">and the “Teacher Role,” </w:t>
      </w:r>
      <w:r w:rsidR="007748FA">
        <w:t>indicator</w:t>
      </w:r>
      <w:r w:rsidR="0097402A">
        <w:t>s</w:t>
      </w:r>
      <w:r w:rsidR="009E6F45">
        <w:t>.</w:t>
      </w:r>
      <w:r w:rsidR="001C73A0">
        <w:t xml:space="preserve"> </w:t>
      </w:r>
      <w:r w:rsidR="0097402A" w:rsidRPr="0097402A">
        <w:t>For “Instructional Strategies,” teachers moved from primarily lecturing to cover content to using student-led investigations to promote strong conceptual understanding. Regarding “Order of Instruction,” teachers encouraged and expected students to explain concepts rather just the teacher explaining everything. Finally, teachers moved away from being the center of the lesson to acting more like a facilitator for students to learn in their own way.</w:t>
      </w:r>
      <w:r w:rsidR="0097402A">
        <w:t xml:space="preserve"> </w:t>
      </w:r>
    </w:p>
    <w:p w14:paraId="7052CC44" w14:textId="43822DE4" w:rsidR="00680A26" w:rsidRDefault="004D33DC" w:rsidP="004D33DC">
      <w:pPr>
        <w:rPr>
          <w:i/>
          <w:color w:val="0000FF"/>
        </w:rPr>
      </w:pPr>
      <w:r>
        <w:lastRenderedPageBreak/>
        <w:t xml:space="preserve">Across all teachers’ ratings for Instructional constructs, Pre-Inquiry was selected </w:t>
      </w:r>
      <w:r w:rsidR="001C73A0">
        <w:t>only twice</w:t>
      </w:r>
      <w:r>
        <w:t>,</w:t>
      </w:r>
      <w:r w:rsidR="001C73A0">
        <w:t xml:space="preserve"> compared to the </w:t>
      </w:r>
      <w:r w:rsidR="0097402A">
        <w:t>nine</w:t>
      </w:r>
      <w:r w:rsidR="001C73A0">
        <w:t xml:space="preserve"> times this category was selected on the pre-Institute observations.</w:t>
      </w:r>
      <w:r>
        <w:t xml:space="preserve"> The Exemplary Inquiry rating was selected </w:t>
      </w:r>
      <w:r w:rsidR="0097402A">
        <w:t>twelve</w:t>
      </w:r>
      <w:r>
        <w:t xml:space="preserve"> times</w:t>
      </w:r>
      <w:r w:rsidR="0097402A">
        <w:t xml:space="preserve"> on the post observation</w:t>
      </w:r>
      <w:r>
        <w:t xml:space="preserve">, </w:t>
      </w:r>
      <w:r w:rsidR="001C73A0">
        <w:t xml:space="preserve">compared to </w:t>
      </w:r>
      <w:r w:rsidR="0097402A">
        <w:t>four</w:t>
      </w:r>
      <w:r w:rsidR="001C73A0">
        <w:t xml:space="preserve"> occurrences pre-Institute, </w:t>
      </w:r>
      <w:r>
        <w:t xml:space="preserve">with </w:t>
      </w:r>
      <w:r w:rsidR="001C73A0">
        <w:t>one</w:t>
      </w:r>
      <w:r>
        <w:t xml:space="preserve"> teacher receiving </w:t>
      </w:r>
      <w:r w:rsidR="001C73A0">
        <w:t xml:space="preserve">Exemplary designation on three out of the five Instructional </w:t>
      </w:r>
      <w:r w:rsidR="007748FA">
        <w:t>factor indicators</w:t>
      </w:r>
      <w:r>
        <w:t xml:space="preserve">. </w:t>
      </w:r>
    </w:p>
    <w:p w14:paraId="674FBF11" w14:textId="3932840B" w:rsidR="004D33DC" w:rsidRPr="0097402A" w:rsidRDefault="004D33DC" w:rsidP="004D33DC">
      <w:pPr>
        <w:rPr>
          <w:i/>
          <w:color w:val="0000FF"/>
        </w:rPr>
      </w:pPr>
      <w:r w:rsidRPr="0097402A">
        <w:rPr>
          <w:i/>
          <w:color w:val="0000FF"/>
        </w:rPr>
        <w:t xml:space="preserve">Table </w:t>
      </w:r>
      <w:r w:rsidR="00C14DED">
        <w:rPr>
          <w:i/>
          <w:color w:val="0000FF"/>
        </w:rPr>
        <w:t>1</w:t>
      </w:r>
      <w:r w:rsidR="006F3DE5" w:rsidRPr="0097402A">
        <w:rPr>
          <w:i/>
          <w:color w:val="0000FF"/>
        </w:rPr>
        <w:t>.</w:t>
      </w:r>
      <w:r w:rsidRPr="0097402A">
        <w:rPr>
          <w:i/>
          <w:color w:val="0000FF"/>
        </w:rPr>
        <w:t xml:space="preserve"> </w:t>
      </w:r>
      <w:r w:rsidR="004B067B" w:rsidRPr="0097402A">
        <w:rPr>
          <w:i/>
          <w:color w:val="0000FF"/>
        </w:rPr>
        <w:t xml:space="preserve">Cohort 1 &amp; 2 </w:t>
      </w:r>
      <w:r w:rsidR="009E6F45" w:rsidRPr="0097402A">
        <w:rPr>
          <w:i/>
          <w:color w:val="0000FF"/>
        </w:rPr>
        <w:t>Comparison of observations scores for Instructional Factors</w:t>
      </w:r>
    </w:p>
    <w:tbl>
      <w:tblPr>
        <w:tblW w:w="9924" w:type="dxa"/>
        <w:tblBorders>
          <w:insideH w:val="single" w:sz="4" w:space="0" w:color="auto"/>
          <w:insideV w:val="single" w:sz="4" w:space="0" w:color="auto"/>
        </w:tblBorders>
        <w:tblLook w:val="04A0" w:firstRow="1" w:lastRow="0" w:firstColumn="1" w:lastColumn="0" w:noHBand="0" w:noVBand="1"/>
      </w:tblPr>
      <w:tblGrid>
        <w:gridCol w:w="1400"/>
        <w:gridCol w:w="1300"/>
        <w:gridCol w:w="1480"/>
        <w:gridCol w:w="222"/>
        <w:gridCol w:w="1400"/>
        <w:gridCol w:w="222"/>
        <w:gridCol w:w="1060"/>
        <w:gridCol w:w="222"/>
        <w:gridCol w:w="1060"/>
        <w:gridCol w:w="222"/>
        <w:gridCol w:w="1336"/>
      </w:tblGrid>
      <w:tr w:rsidR="009E6F45" w:rsidRPr="009E6F45" w14:paraId="50B0B806" w14:textId="77777777" w:rsidTr="00517320">
        <w:trPr>
          <w:trHeight w:val="624"/>
        </w:trPr>
        <w:tc>
          <w:tcPr>
            <w:tcW w:w="1400" w:type="dxa"/>
            <w:shd w:val="clear" w:color="auto" w:fill="auto"/>
            <w:noWrap/>
            <w:vAlign w:val="bottom"/>
            <w:hideMark/>
          </w:tcPr>
          <w:p w14:paraId="1A26C477" w14:textId="77777777" w:rsidR="009E6F45" w:rsidRPr="009E6F45" w:rsidRDefault="009E6F45" w:rsidP="009E6F45">
            <w:pPr>
              <w:spacing w:after="0" w:line="240" w:lineRule="auto"/>
              <w:rPr>
                <w:rFonts w:eastAsia="Times New Roman"/>
              </w:rPr>
            </w:pPr>
          </w:p>
        </w:tc>
        <w:tc>
          <w:tcPr>
            <w:tcW w:w="1300" w:type="dxa"/>
            <w:shd w:val="clear" w:color="auto" w:fill="auto"/>
            <w:noWrap/>
            <w:vAlign w:val="bottom"/>
            <w:hideMark/>
          </w:tcPr>
          <w:p w14:paraId="5C4BBC1B" w14:textId="77777777" w:rsidR="009E6F45" w:rsidRPr="009E6F45" w:rsidRDefault="009E6F45" w:rsidP="009E6F45">
            <w:pPr>
              <w:spacing w:after="0" w:line="240" w:lineRule="auto"/>
              <w:rPr>
                <w:rFonts w:eastAsia="Times New Roman"/>
                <w:sz w:val="20"/>
                <w:szCs w:val="20"/>
              </w:rPr>
            </w:pPr>
          </w:p>
        </w:tc>
        <w:tc>
          <w:tcPr>
            <w:tcW w:w="1480" w:type="dxa"/>
            <w:shd w:val="clear" w:color="auto" w:fill="auto"/>
            <w:vAlign w:val="bottom"/>
            <w:hideMark/>
          </w:tcPr>
          <w:p w14:paraId="607C3E75" w14:textId="77777777" w:rsidR="009E6F45" w:rsidRPr="009E6F45" w:rsidRDefault="009E6F45" w:rsidP="009E6F45">
            <w:pPr>
              <w:spacing w:after="0" w:line="240" w:lineRule="auto"/>
              <w:jc w:val="center"/>
              <w:rPr>
                <w:rFonts w:eastAsia="Times New Roman"/>
                <w:color w:val="000000"/>
              </w:rPr>
            </w:pPr>
            <w:r w:rsidRPr="00CE6F92">
              <w:rPr>
                <w:color w:val="3514DC"/>
              </w:rPr>
              <w:t>Instructional Strategies</w:t>
            </w:r>
          </w:p>
        </w:tc>
        <w:tc>
          <w:tcPr>
            <w:tcW w:w="222" w:type="dxa"/>
            <w:shd w:val="clear" w:color="auto" w:fill="auto"/>
            <w:noWrap/>
            <w:vAlign w:val="bottom"/>
            <w:hideMark/>
          </w:tcPr>
          <w:p w14:paraId="197508DD" w14:textId="77777777" w:rsidR="009E6F45" w:rsidRPr="009E6F45" w:rsidRDefault="009E6F45" w:rsidP="009E6F45">
            <w:pPr>
              <w:spacing w:after="0" w:line="240" w:lineRule="auto"/>
              <w:jc w:val="center"/>
              <w:rPr>
                <w:rFonts w:eastAsia="Times New Roman"/>
                <w:color w:val="000000"/>
              </w:rPr>
            </w:pPr>
          </w:p>
        </w:tc>
        <w:tc>
          <w:tcPr>
            <w:tcW w:w="1400" w:type="dxa"/>
            <w:shd w:val="clear" w:color="auto" w:fill="auto"/>
            <w:vAlign w:val="bottom"/>
            <w:hideMark/>
          </w:tcPr>
          <w:p w14:paraId="39E1D184" w14:textId="77777777" w:rsidR="009E6F45" w:rsidRPr="00CE6F92" w:rsidRDefault="009E6F45" w:rsidP="009E6F45">
            <w:pPr>
              <w:spacing w:after="0" w:line="240" w:lineRule="auto"/>
              <w:jc w:val="center"/>
              <w:rPr>
                <w:color w:val="3514DC"/>
              </w:rPr>
            </w:pPr>
            <w:r w:rsidRPr="00CE6F92">
              <w:rPr>
                <w:color w:val="3514DC"/>
              </w:rPr>
              <w:t>Order of Instruction</w:t>
            </w:r>
          </w:p>
        </w:tc>
        <w:tc>
          <w:tcPr>
            <w:tcW w:w="222" w:type="dxa"/>
            <w:shd w:val="clear" w:color="auto" w:fill="auto"/>
            <w:noWrap/>
            <w:vAlign w:val="bottom"/>
            <w:hideMark/>
          </w:tcPr>
          <w:p w14:paraId="272F7684" w14:textId="77777777" w:rsidR="009E6F45" w:rsidRPr="00CE6F92" w:rsidRDefault="009E6F45" w:rsidP="009E6F45">
            <w:pPr>
              <w:spacing w:after="0" w:line="240" w:lineRule="auto"/>
              <w:jc w:val="center"/>
              <w:rPr>
                <w:color w:val="3514DC"/>
              </w:rPr>
            </w:pPr>
          </w:p>
        </w:tc>
        <w:tc>
          <w:tcPr>
            <w:tcW w:w="1060" w:type="dxa"/>
            <w:shd w:val="clear" w:color="auto" w:fill="auto"/>
            <w:vAlign w:val="bottom"/>
            <w:hideMark/>
          </w:tcPr>
          <w:p w14:paraId="62E27D51" w14:textId="77777777" w:rsidR="009E6F45" w:rsidRPr="00CE6F92" w:rsidRDefault="009E6F45" w:rsidP="009E6F45">
            <w:pPr>
              <w:spacing w:after="0" w:line="240" w:lineRule="auto"/>
              <w:jc w:val="center"/>
              <w:rPr>
                <w:color w:val="3514DC"/>
              </w:rPr>
            </w:pPr>
            <w:r w:rsidRPr="00CE6F92">
              <w:rPr>
                <w:color w:val="3514DC"/>
              </w:rPr>
              <w:t>Teacher Role</w:t>
            </w:r>
          </w:p>
        </w:tc>
        <w:tc>
          <w:tcPr>
            <w:tcW w:w="222" w:type="dxa"/>
            <w:shd w:val="clear" w:color="auto" w:fill="auto"/>
            <w:noWrap/>
            <w:vAlign w:val="bottom"/>
            <w:hideMark/>
          </w:tcPr>
          <w:p w14:paraId="25EE84B0" w14:textId="77777777" w:rsidR="009E6F45" w:rsidRPr="00CE6F92" w:rsidRDefault="009E6F45" w:rsidP="009E6F45">
            <w:pPr>
              <w:spacing w:after="0" w:line="240" w:lineRule="auto"/>
              <w:jc w:val="center"/>
              <w:rPr>
                <w:color w:val="3514DC"/>
              </w:rPr>
            </w:pPr>
          </w:p>
        </w:tc>
        <w:tc>
          <w:tcPr>
            <w:tcW w:w="1060" w:type="dxa"/>
            <w:shd w:val="clear" w:color="auto" w:fill="auto"/>
            <w:vAlign w:val="bottom"/>
            <w:hideMark/>
          </w:tcPr>
          <w:p w14:paraId="4A651BDE" w14:textId="77777777" w:rsidR="009E6F45" w:rsidRPr="00CE6F92" w:rsidRDefault="009E6F45" w:rsidP="009E6F45">
            <w:pPr>
              <w:spacing w:after="0" w:line="240" w:lineRule="auto"/>
              <w:jc w:val="center"/>
              <w:rPr>
                <w:color w:val="3514DC"/>
              </w:rPr>
            </w:pPr>
            <w:r w:rsidRPr="00CE6F92">
              <w:rPr>
                <w:color w:val="3514DC"/>
              </w:rPr>
              <w:t>Student Role</w:t>
            </w:r>
          </w:p>
        </w:tc>
        <w:tc>
          <w:tcPr>
            <w:tcW w:w="222" w:type="dxa"/>
            <w:shd w:val="clear" w:color="auto" w:fill="auto"/>
            <w:noWrap/>
            <w:vAlign w:val="bottom"/>
            <w:hideMark/>
          </w:tcPr>
          <w:p w14:paraId="23EAFBE0" w14:textId="77777777" w:rsidR="009E6F45" w:rsidRPr="00CE6F92" w:rsidRDefault="009E6F45" w:rsidP="009E6F45">
            <w:pPr>
              <w:spacing w:after="0" w:line="240" w:lineRule="auto"/>
              <w:jc w:val="center"/>
              <w:rPr>
                <w:color w:val="3514DC"/>
              </w:rPr>
            </w:pPr>
          </w:p>
        </w:tc>
        <w:tc>
          <w:tcPr>
            <w:tcW w:w="1336" w:type="dxa"/>
            <w:shd w:val="clear" w:color="auto" w:fill="auto"/>
            <w:vAlign w:val="bottom"/>
            <w:hideMark/>
          </w:tcPr>
          <w:p w14:paraId="08CD8D41" w14:textId="77777777" w:rsidR="009E6F45" w:rsidRPr="00CE6F92" w:rsidRDefault="009E6F45" w:rsidP="009E6F45">
            <w:pPr>
              <w:spacing w:after="0" w:line="240" w:lineRule="auto"/>
              <w:jc w:val="center"/>
              <w:rPr>
                <w:color w:val="3514DC"/>
              </w:rPr>
            </w:pPr>
            <w:r w:rsidRPr="00CE6F92">
              <w:rPr>
                <w:color w:val="3514DC"/>
              </w:rPr>
              <w:t>Knowledge Acquisition</w:t>
            </w:r>
          </w:p>
        </w:tc>
      </w:tr>
      <w:tr w:rsidR="009E6F45" w:rsidRPr="009E6F45" w14:paraId="3F3A2D09" w14:textId="77777777" w:rsidTr="00517320">
        <w:trPr>
          <w:trHeight w:val="120"/>
        </w:trPr>
        <w:tc>
          <w:tcPr>
            <w:tcW w:w="1400" w:type="dxa"/>
            <w:shd w:val="clear" w:color="auto" w:fill="auto"/>
            <w:noWrap/>
            <w:vAlign w:val="bottom"/>
            <w:hideMark/>
          </w:tcPr>
          <w:p w14:paraId="2690ADF9" w14:textId="77777777" w:rsidR="009E6F45" w:rsidRPr="009E6F45" w:rsidRDefault="009E6F45" w:rsidP="009E6F45">
            <w:pPr>
              <w:spacing w:after="0" w:line="240" w:lineRule="auto"/>
              <w:jc w:val="center"/>
              <w:rPr>
                <w:rFonts w:eastAsia="Times New Roman"/>
                <w:color w:val="000000"/>
              </w:rPr>
            </w:pPr>
          </w:p>
        </w:tc>
        <w:tc>
          <w:tcPr>
            <w:tcW w:w="1300" w:type="dxa"/>
            <w:shd w:val="clear" w:color="auto" w:fill="auto"/>
            <w:noWrap/>
            <w:vAlign w:val="bottom"/>
            <w:hideMark/>
          </w:tcPr>
          <w:p w14:paraId="176F0399" w14:textId="77777777" w:rsidR="009E6F45" w:rsidRPr="009E6F45" w:rsidRDefault="009E6F45" w:rsidP="009E6F45">
            <w:pPr>
              <w:spacing w:after="0" w:line="240" w:lineRule="auto"/>
              <w:rPr>
                <w:rFonts w:eastAsia="Times New Roman"/>
                <w:sz w:val="20"/>
                <w:szCs w:val="20"/>
              </w:rPr>
            </w:pPr>
          </w:p>
        </w:tc>
        <w:tc>
          <w:tcPr>
            <w:tcW w:w="1480" w:type="dxa"/>
            <w:shd w:val="clear" w:color="auto" w:fill="auto"/>
            <w:noWrap/>
            <w:vAlign w:val="bottom"/>
            <w:hideMark/>
          </w:tcPr>
          <w:p w14:paraId="18E9CBC4" w14:textId="77777777" w:rsidR="009E6F45" w:rsidRPr="009E6F45" w:rsidRDefault="009E6F45" w:rsidP="009E6F45">
            <w:pPr>
              <w:spacing w:after="0" w:line="240" w:lineRule="auto"/>
              <w:rPr>
                <w:rFonts w:eastAsia="Times New Roman"/>
                <w:sz w:val="20"/>
                <w:szCs w:val="20"/>
              </w:rPr>
            </w:pPr>
          </w:p>
        </w:tc>
        <w:tc>
          <w:tcPr>
            <w:tcW w:w="222" w:type="dxa"/>
            <w:shd w:val="clear" w:color="auto" w:fill="auto"/>
            <w:noWrap/>
            <w:vAlign w:val="bottom"/>
            <w:hideMark/>
          </w:tcPr>
          <w:p w14:paraId="5C3AE71B" w14:textId="77777777" w:rsidR="009E6F45" w:rsidRPr="009E6F45" w:rsidRDefault="009E6F45" w:rsidP="009E6F45">
            <w:pPr>
              <w:spacing w:after="0" w:line="240" w:lineRule="auto"/>
              <w:rPr>
                <w:rFonts w:eastAsia="Times New Roman"/>
                <w:sz w:val="20"/>
                <w:szCs w:val="20"/>
              </w:rPr>
            </w:pPr>
          </w:p>
        </w:tc>
        <w:tc>
          <w:tcPr>
            <w:tcW w:w="1400" w:type="dxa"/>
            <w:shd w:val="clear" w:color="auto" w:fill="auto"/>
            <w:noWrap/>
            <w:vAlign w:val="bottom"/>
            <w:hideMark/>
          </w:tcPr>
          <w:p w14:paraId="5AC0ECE5" w14:textId="77777777" w:rsidR="009E6F45" w:rsidRPr="009E6F45" w:rsidRDefault="009E6F45" w:rsidP="009E6F45">
            <w:pPr>
              <w:spacing w:after="0" w:line="240" w:lineRule="auto"/>
              <w:rPr>
                <w:rFonts w:eastAsia="Times New Roman"/>
                <w:sz w:val="20"/>
                <w:szCs w:val="20"/>
              </w:rPr>
            </w:pPr>
          </w:p>
        </w:tc>
        <w:tc>
          <w:tcPr>
            <w:tcW w:w="222" w:type="dxa"/>
            <w:shd w:val="clear" w:color="auto" w:fill="auto"/>
            <w:noWrap/>
            <w:vAlign w:val="bottom"/>
            <w:hideMark/>
          </w:tcPr>
          <w:p w14:paraId="364CF139" w14:textId="77777777" w:rsidR="009E6F45" w:rsidRPr="009E6F45" w:rsidRDefault="009E6F45" w:rsidP="009E6F45">
            <w:pPr>
              <w:spacing w:after="0" w:line="240" w:lineRule="auto"/>
              <w:rPr>
                <w:rFonts w:eastAsia="Times New Roman"/>
                <w:sz w:val="20"/>
                <w:szCs w:val="20"/>
              </w:rPr>
            </w:pPr>
          </w:p>
        </w:tc>
        <w:tc>
          <w:tcPr>
            <w:tcW w:w="1060" w:type="dxa"/>
            <w:shd w:val="clear" w:color="auto" w:fill="auto"/>
            <w:noWrap/>
            <w:vAlign w:val="bottom"/>
            <w:hideMark/>
          </w:tcPr>
          <w:p w14:paraId="40CEDDFD" w14:textId="77777777" w:rsidR="009E6F45" w:rsidRPr="009E6F45" w:rsidRDefault="009E6F45" w:rsidP="009E6F45">
            <w:pPr>
              <w:spacing w:after="0" w:line="240" w:lineRule="auto"/>
              <w:rPr>
                <w:rFonts w:eastAsia="Times New Roman"/>
                <w:sz w:val="20"/>
                <w:szCs w:val="20"/>
              </w:rPr>
            </w:pPr>
          </w:p>
        </w:tc>
        <w:tc>
          <w:tcPr>
            <w:tcW w:w="222" w:type="dxa"/>
            <w:shd w:val="clear" w:color="auto" w:fill="auto"/>
            <w:noWrap/>
            <w:vAlign w:val="bottom"/>
            <w:hideMark/>
          </w:tcPr>
          <w:p w14:paraId="5B271B49" w14:textId="77777777" w:rsidR="009E6F45" w:rsidRPr="009E6F45" w:rsidRDefault="009E6F45" w:rsidP="009E6F45">
            <w:pPr>
              <w:spacing w:after="0" w:line="240" w:lineRule="auto"/>
              <w:rPr>
                <w:rFonts w:eastAsia="Times New Roman"/>
                <w:sz w:val="20"/>
                <w:szCs w:val="20"/>
              </w:rPr>
            </w:pPr>
          </w:p>
        </w:tc>
        <w:tc>
          <w:tcPr>
            <w:tcW w:w="1060" w:type="dxa"/>
            <w:shd w:val="clear" w:color="auto" w:fill="auto"/>
            <w:noWrap/>
            <w:vAlign w:val="bottom"/>
            <w:hideMark/>
          </w:tcPr>
          <w:p w14:paraId="064E9A56" w14:textId="77777777" w:rsidR="009E6F45" w:rsidRPr="009E6F45" w:rsidRDefault="009E6F45" w:rsidP="009E6F45">
            <w:pPr>
              <w:spacing w:after="0" w:line="240" w:lineRule="auto"/>
              <w:rPr>
                <w:rFonts w:eastAsia="Times New Roman"/>
                <w:sz w:val="20"/>
                <w:szCs w:val="20"/>
              </w:rPr>
            </w:pPr>
          </w:p>
        </w:tc>
        <w:tc>
          <w:tcPr>
            <w:tcW w:w="222" w:type="dxa"/>
            <w:shd w:val="clear" w:color="auto" w:fill="auto"/>
            <w:noWrap/>
            <w:vAlign w:val="bottom"/>
            <w:hideMark/>
          </w:tcPr>
          <w:p w14:paraId="10838E6A" w14:textId="77777777" w:rsidR="009E6F45" w:rsidRPr="009E6F45" w:rsidRDefault="009E6F45" w:rsidP="009E6F45">
            <w:pPr>
              <w:spacing w:after="0" w:line="240" w:lineRule="auto"/>
              <w:rPr>
                <w:rFonts w:eastAsia="Times New Roman"/>
                <w:sz w:val="20"/>
                <w:szCs w:val="20"/>
              </w:rPr>
            </w:pPr>
          </w:p>
        </w:tc>
        <w:tc>
          <w:tcPr>
            <w:tcW w:w="1336" w:type="dxa"/>
            <w:shd w:val="clear" w:color="auto" w:fill="auto"/>
            <w:noWrap/>
            <w:vAlign w:val="bottom"/>
            <w:hideMark/>
          </w:tcPr>
          <w:p w14:paraId="21FB42B0" w14:textId="77777777" w:rsidR="009E6F45" w:rsidRPr="009E6F45" w:rsidRDefault="009E6F45" w:rsidP="009E6F45">
            <w:pPr>
              <w:spacing w:after="0" w:line="240" w:lineRule="auto"/>
              <w:rPr>
                <w:rFonts w:eastAsia="Times New Roman"/>
                <w:sz w:val="20"/>
                <w:szCs w:val="20"/>
              </w:rPr>
            </w:pPr>
          </w:p>
        </w:tc>
      </w:tr>
      <w:tr w:rsidR="009E6F45" w:rsidRPr="009E6F45" w14:paraId="5B5B7D57" w14:textId="77777777" w:rsidTr="00517320">
        <w:trPr>
          <w:trHeight w:val="312"/>
        </w:trPr>
        <w:tc>
          <w:tcPr>
            <w:tcW w:w="1400" w:type="dxa"/>
            <w:vMerge w:val="restart"/>
            <w:shd w:val="clear" w:color="auto" w:fill="auto"/>
            <w:noWrap/>
            <w:vAlign w:val="center"/>
            <w:hideMark/>
          </w:tcPr>
          <w:p w14:paraId="35DE769B"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Pre-Institute</w:t>
            </w:r>
          </w:p>
        </w:tc>
        <w:tc>
          <w:tcPr>
            <w:tcW w:w="1300" w:type="dxa"/>
            <w:shd w:val="clear" w:color="auto" w:fill="auto"/>
            <w:noWrap/>
            <w:vAlign w:val="center"/>
            <w:hideMark/>
          </w:tcPr>
          <w:p w14:paraId="3278E4F6"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Mode</w:t>
            </w:r>
          </w:p>
        </w:tc>
        <w:tc>
          <w:tcPr>
            <w:tcW w:w="1480" w:type="dxa"/>
            <w:shd w:val="clear" w:color="auto" w:fill="auto"/>
            <w:noWrap/>
            <w:vAlign w:val="bottom"/>
            <w:hideMark/>
          </w:tcPr>
          <w:p w14:paraId="62F4843C"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c>
          <w:tcPr>
            <w:tcW w:w="222" w:type="dxa"/>
            <w:shd w:val="clear" w:color="auto" w:fill="auto"/>
            <w:noWrap/>
            <w:vAlign w:val="bottom"/>
            <w:hideMark/>
          </w:tcPr>
          <w:p w14:paraId="5981EDF4" w14:textId="77777777" w:rsidR="009E6F45" w:rsidRPr="009E6F45" w:rsidRDefault="009E6F45" w:rsidP="009E6F45">
            <w:pPr>
              <w:spacing w:after="0" w:line="240" w:lineRule="auto"/>
              <w:jc w:val="center"/>
              <w:rPr>
                <w:rFonts w:eastAsia="Times New Roman"/>
                <w:color w:val="000000"/>
              </w:rPr>
            </w:pPr>
          </w:p>
        </w:tc>
        <w:tc>
          <w:tcPr>
            <w:tcW w:w="1400" w:type="dxa"/>
            <w:shd w:val="clear" w:color="auto" w:fill="auto"/>
            <w:noWrap/>
            <w:vAlign w:val="bottom"/>
            <w:hideMark/>
          </w:tcPr>
          <w:p w14:paraId="689282A7" w14:textId="25ED3943" w:rsidR="009E6F45" w:rsidRPr="009E6F45" w:rsidRDefault="004B067B" w:rsidP="009E6F45">
            <w:pPr>
              <w:spacing w:after="0" w:line="240" w:lineRule="auto"/>
              <w:jc w:val="center"/>
              <w:rPr>
                <w:rFonts w:eastAsia="Times New Roman"/>
                <w:color w:val="000000"/>
              </w:rPr>
            </w:pPr>
            <w:r>
              <w:rPr>
                <w:rFonts w:eastAsia="Times New Roman"/>
                <w:color w:val="000000"/>
              </w:rPr>
              <w:t>2</w:t>
            </w:r>
          </w:p>
        </w:tc>
        <w:tc>
          <w:tcPr>
            <w:tcW w:w="222" w:type="dxa"/>
            <w:shd w:val="clear" w:color="auto" w:fill="auto"/>
            <w:noWrap/>
            <w:vAlign w:val="bottom"/>
            <w:hideMark/>
          </w:tcPr>
          <w:p w14:paraId="57AB38C7" w14:textId="77777777" w:rsidR="009E6F45" w:rsidRPr="009E6F45" w:rsidRDefault="009E6F45" w:rsidP="009E6F45">
            <w:pPr>
              <w:spacing w:after="0" w:line="240" w:lineRule="auto"/>
              <w:jc w:val="center"/>
              <w:rPr>
                <w:rFonts w:eastAsia="Times New Roman"/>
                <w:color w:val="000000"/>
              </w:rPr>
            </w:pPr>
          </w:p>
        </w:tc>
        <w:tc>
          <w:tcPr>
            <w:tcW w:w="1060" w:type="dxa"/>
            <w:shd w:val="clear" w:color="auto" w:fill="auto"/>
            <w:noWrap/>
            <w:vAlign w:val="bottom"/>
            <w:hideMark/>
          </w:tcPr>
          <w:p w14:paraId="5EAE0AA6"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c>
          <w:tcPr>
            <w:tcW w:w="222" w:type="dxa"/>
            <w:shd w:val="clear" w:color="auto" w:fill="auto"/>
            <w:noWrap/>
            <w:vAlign w:val="bottom"/>
            <w:hideMark/>
          </w:tcPr>
          <w:p w14:paraId="55DB72C5" w14:textId="77777777" w:rsidR="009E6F45" w:rsidRPr="009E6F45" w:rsidRDefault="009E6F45" w:rsidP="009E6F45">
            <w:pPr>
              <w:spacing w:after="0" w:line="240" w:lineRule="auto"/>
              <w:jc w:val="center"/>
              <w:rPr>
                <w:rFonts w:eastAsia="Times New Roman"/>
                <w:color w:val="000000"/>
              </w:rPr>
            </w:pPr>
          </w:p>
        </w:tc>
        <w:tc>
          <w:tcPr>
            <w:tcW w:w="1060" w:type="dxa"/>
            <w:shd w:val="clear" w:color="auto" w:fill="auto"/>
            <w:noWrap/>
            <w:vAlign w:val="bottom"/>
            <w:hideMark/>
          </w:tcPr>
          <w:p w14:paraId="5ECEE20E"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c>
          <w:tcPr>
            <w:tcW w:w="222" w:type="dxa"/>
            <w:shd w:val="clear" w:color="auto" w:fill="auto"/>
            <w:noWrap/>
            <w:vAlign w:val="bottom"/>
            <w:hideMark/>
          </w:tcPr>
          <w:p w14:paraId="41C321E8" w14:textId="77777777" w:rsidR="009E6F45" w:rsidRPr="009E6F45" w:rsidRDefault="009E6F45" w:rsidP="009E6F45">
            <w:pPr>
              <w:spacing w:after="0" w:line="240" w:lineRule="auto"/>
              <w:jc w:val="center"/>
              <w:rPr>
                <w:rFonts w:eastAsia="Times New Roman"/>
                <w:color w:val="000000"/>
              </w:rPr>
            </w:pPr>
          </w:p>
        </w:tc>
        <w:tc>
          <w:tcPr>
            <w:tcW w:w="1336" w:type="dxa"/>
            <w:shd w:val="clear" w:color="auto" w:fill="auto"/>
            <w:noWrap/>
            <w:vAlign w:val="bottom"/>
            <w:hideMark/>
          </w:tcPr>
          <w:p w14:paraId="75F88D8E"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r>
      <w:tr w:rsidR="009E6F45" w:rsidRPr="009E6F45" w14:paraId="2A6811A2" w14:textId="77777777" w:rsidTr="00517320">
        <w:trPr>
          <w:trHeight w:val="312"/>
        </w:trPr>
        <w:tc>
          <w:tcPr>
            <w:tcW w:w="1400" w:type="dxa"/>
            <w:vMerge/>
            <w:vAlign w:val="center"/>
            <w:hideMark/>
          </w:tcPr>
          <w:p w14:paraId="5FE45D14" w14:textId="77777777" w:rsidR="009E6F45" w:rsidRPr="009E6F45" w:rsidRDefault="009E6F45" w:rsidP="009E6F45">
            <w:pPr>
              <w:spacing w:after="0" w:line="240" w:lineRule="auto"/>
              <w:rPr>
                <w:rFonts w:eastAsia="Times New Roman"/>
                <w:color w:val="000000"/>
              </w:rPr>
            </w:pPr>
          </w:p>
        </w:tc>
        <w:tc>
          <w:tcPr>
            <w:tcW w:w="1300" w:type="dxa"/>
            <w:shd w:val="clear" w:color="auto" w:fill="auto"/>
            <w:noWrap/>
            <w:vAlign w:val="center"/>
            <w:hideMark/>
          </w:tcPr>
          <w:p w14:paraId="56D3A660"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Median</w:t>
            </w:r>
          </w:p>
        </w:tc>
        <w:tc>
          <w:tcPr>
            <w:tcW w:w="1480" w:type="dxa"/>
            <w:shd w:val="clear" w:color="auto" w:fill="auto"/>
            <w:noWrap/>
            <w:vAlign w:val="bottom"/>
            <w:hideMark/>
          </w:tcPr>
          <w:p w14:paraId="10A2901D" w14:textId="472F06EE" w:rsidR="009E6F45" w:rsidRPr="009E6F45" w:rsidRDefault="004B067B" w:rsidP="009E6F45">
            <w:pPr>
              <w:spacing w:after="0" w:line="240" w:lineRule="auto"/>
              <w:jc w:val="center"/>
              <w:rPr>
                <w:rFonts w:eastAsia="Times New Roman"/>
                <w:color w:val="000000"/>
              </w:rPr>
            </w:pPr>
            <w:r>
              <w:rPr>
                <w:rFonts w:eastAsia="Times New Roman"/>
                <w:color w:val="000000"/>
              </w:rPr>
              <w:t>2</w:t>
            </w:r>
          </w:p>
        </w:tc>
        <w:tc>
          <w:tcPr>
            <w:tcW w:w="222" w:type="dxa"/>
            <w:shd w:val="clear" w:color="auto" w:fill="auto"/>
            <w:noWrap/>
            <w:vAlign w:val="bottom"/>
            <w:hideMark/>
          </w:tcPr>
          <w:p w14:paraId="477F56D7" w14:textId="77777777" w:rsidR="009E6F45" w:rsidRPr="009E6F45" w:rsidRDefault="009E6F45" w:rsidP="009E6F45">
            <w:pPr>
              <w:spacing w:after="0" w:line="240" w:lineRule="auto"/>
              <w:jc w:val="center"/>
              <w:rPr>
                <w:rFonts w:eastAsia="Times New Roman"/>
                <w:color w:val="000000"/>
              </w:rPr>
            </w:pPr>
          </w:p>
        </w:tc>
        <w:tc>
          <w:tcPr>
            <w:tcW w:w="1400" w:type="dxa"/>
            <w:shd w:val="clear" w:color="auto" w:fill="auto"/>
            <w:noWrap/>
            <w:vAlign w:val="bottom"/>
            <w:hideMark/>
          </w:tcPr>
          <w:p w14:paraId="7B3359AF" w14:textId="6D39ADBB" w:rsidR="009E6F45" w:rsidRPr="009E6F45" w:rsidRDefault="009E6F45" w:rsidP="009E6F45">
            <w:pPr>
              <w:spacing w:after="0" w:line="240" w:lineRule="auto"/>
              <w:jc w:val="center"/>
              <w:rPr>
                <w:rFonts w:eastAsia="Times New Roman"/>
                <w:color w:val="000000"/>
              </w:rPr>
            </w:pPr>
            <w:r w:rsidRPr="009E6F45">
              <w:rPr>
                <w:rFonts w:eastAsia="Times New Roman"/>
                <w:color w:val="000000"/>
              </w:rPr>
              <w:t>2</w:t>
            </w:r>
          </w:p>
        </w:tc>
        <w:tc>
          <w:tcPr>
            <w:tcW w:w="222" w:type="dxa"/>
            <w:shd w:val="clear" w:color="auto" w:fill="auto"/>
            <w:noWrap/>
            <w:vAlign w:val="bottom"/>
            <w:hideMark/>
          </w:tcPr>
          <w:p w14:paraId="7C0477C5" w14:textId="77777777" w:rsidR="009E6F45" w:rsidRPr="009E6F45" w:rsidRDefault="009E6F45" w:rsidP="009E6F45">
            <w:pPr>
              <w:spacing w:after="0" w:line="240" w:lineRule="auto"/>
              <w:jc w:val="center"/>
              <w:rPr>
                <w:rFonts w:eastAsia="Times New Roman"/>
                <w:color w:val="000000"/>
              </w:rPr>
            </w:pPr>
          </w:p>
        </w:tc>
        <w:tc>
          <w:tcPr>
            <w:tcW w:w="1060" w:type="dxa"/>
            <w:shd w:val="clear" w:color="auto" w:fill="auto"/>
            <w:noWrap/>
            <w:vAlign w:val="bottom"/>
            <w:hideMark/>
          </w:tcPr>
          <w:p w14:paraId="5273C1AB"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c>
          <w:tcPr>
            <w:tcW w:w="222" w:type="dxa"/>
            <w:shd w:val="clear" w:color="auto" w:fill="auto"/>
            <w:noWrap/>
            <w:vAlign w:val="bottom"/>
            <w:hideMark/>
          </w:tcPr>
          <w:p w14:paraId="3DD995C3" w14:textId="77777777" w:rsidR="009E6F45" w:rsidRPr="009E6F45" w:rsidRDefault="009E6F45" w:rsidP="009E6F45">
            <w:pPr>
              <w:spacing w:after="0" w:line="240" w:lineRule="auto"/>
              <w:jc w:val="center"/>
              <w:rPr>
                <w:rFonts w:eastAsia="Times New Roman"/>
                <w:color w:val="000000"/>
              </w:rPr>
            </w:pPr>
          </w:p>
        </w:tc>
        <w:tc>
          <w:tcPr>
            <w:tcW w:w="1060" w:type="dxa"/>
            <w:shd w:val="clear" w:color="auto" w:fill="auto"/>
            <w:noWrap/>
            <w:vAlign w:val="bottom"/>
            <w:hideMark/>
          </w:tcPr>
          <w:p w14:paraId="5F532F1B"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c>
          <w:tcPr>
            <w:tcW w:w="222" w:type="dxa"/>
            <w:shd w:val="clear" w:color="auto" w:fill="auto"/>
            <w:noWrap/>
            <w:vAlign w:val="bottom"/>
            <w:hideMark/>
          </w:tcPr>
          <w:p w14:paraId="154313C6" w14:textId="77777777" w:rsidR="009E6F45" w:rsidRPr="009E6F45" w:rsidRDefault="009E6F45" w:rsidP="009E6F45">
            <w:pPr>
              <w:spacing w:after="0" w:line="240" w:lineRule="auto"/>
              <w:jc w:val="center"/>
              <w:rPr>
                <w:rFonts w:eastAsia="Times New Roman"/>
                <w:color w:val="000000"/>
              </w:rPr>
            </w:pPr>
          </w:p>
        </w:tc>
        <w:tc>
          <w:tcPr>
            <w:tcW w:w="1336" w:type="dxa"/>
            <w:shd w:val="clear" w:color="auto" w:fill="auto"/>
            <w:noWrap/>
            <w:vAlign w:val="bottom"/>
            <w:hideMark/>
          </w:tcPr>
          <w:p w14:paraId="495A5B29" w14:textId="77777777" w:rsidR="009E6F45" w:rsidRPr="009E6F45" w:rsidRDefault="009E6F45" w:rsidP="009E6F45">
            <w:pPr>
              <w:spacing w:after="0" w:line="240" w:lineRule="auto"/>
              <w:jc w:val="center"/>
              <w:rPr>
                <w:rFonts w:eastAsia="Times New Roman"/>
                <w:color w:val="000000"/>
              </w:rPr>
            </w:pPr>
            <w:r w:rsidRPr="009E6F45">
              <w:rPr>
                <w:rFonts w:eastAsia="Times New Roman"/>
                <w:color w:val="000000"/>
              </w:rPr>
              <w:t>3</w:t>
            </w:r>
          </w:p>
        </w:tc>
      </w:tr>
      <w:tr w:rsidR="009E6F45" w:rsidRPr="009E6F45" w14:paraId="04B5D7BA" w14:textId="77777777" w:rsidTr="00517320">
        <w:trPr>
          <w:trHeight w:val="312"/>
        </w:trPr>
        <w:tc>
          <w:tcPr>
            <w:tcW w:w="1400" w:type="dxa"/>
            <w:shd w:val="clear" w:color="auto" w:fill="auto"/>
            <w:noWrap/>
            <w:vAlign w:val="bottom"/>
            <w:hideMark/>
          </w:tcPr>
          <w:p w14:paraId="7579303E" w14:textId="77777777" w:rsidR="009E6F45" w:rsidRPr="009E6F45" w:rsidRDefault="009E6F45" w:rsidP="009E6F45">
            <w:pPr>
              <w:spacing w:after="0" w:line="240" w:lineRule="auto"/>
              <w:jc w:val="center"/>
              <w:rPr>
                <w:rFonts w:eastAsia="Times New Roman"/>
                <w:color w:val="000000"/>
              </w:rPr>
            </w:pPr>
          </w:p>
        </w:tc>
        <w:tc>
          <w:tcPr>
            <w:tcW w:w="1300" w:type="dxa"/>
            <w:shd w:val="clear" w:color="auto" w:fill="auto"/>
            <w:noWrap/>
            <w:vAlign w:val="bottom"/>
            <w:hideMark/>
          </w:tcPr>
          <w:p w14:paraId="453CA3CC" w14:textId="77777777" w:rsidR="009E6F45" w:rsidRPr="009E6F45" w:rsidRDefault="009E6F45" w:rsidP="009E6F45">
            <w:pPr>
              <w:spacing w:after="0" w:line="240" w:lineRule="auto"/>
              <w:rPr>
                <w:rFonts w:eastAsia="Times New Roman"/>
                <w:sz w:val="20"/>
                <w:szCs w:val="20"/>
              </w:rPr>
            </w:pPr>
          </w:p>
        </w:tc>
        <w:tc>
          <w:tcPr>
            <w:tcW w:w="1480" w:type="dxa"/>
            <w:shd w:val="clear" w:color="auto" w:fill="auto"/>
            <w:noWrap/>
            <w:vAlign w:val="bottom"/>
            <w:hideMark/>
          </w:tcPr>
          <w:p w14:paraId="4264AAE4" w14:textId="77777777" w:rsidR="009E6F45" w:rsidRPr="009E6F45" w:rsidRDefault="009E6F45" w:rsidP="009E6F45">
            <w:pPr>
              <w:spacing w:after="0" w:line="240" w:lineRule="auto"/>
              <w:rPr>
                <w:rFonts w:eastAsia="Times New Roman"/>
                <w:sz w:val="20"/>
                <w:szCs w:val="20"/>
              </w:rPr>
            </w:pPr>
          </w:p>
        </w:tc>
        <w:tc>
          <w:tcPr>
            <w:tcW w:w="222" w:type="dxa"/>
            <w:shd w:val="clear" w:color="auto" w:fill="auto"/>
            <w:noWrap/>
            <w:vAlign w:val="bottom"/>
            <w:hideMark/>
          </w:tcPr>
          <w:p w14:paraId="2AFCC83E" w14:textId="77777777" w:rsidR="009E6F45" w:rsidRPr="009E6F45" w:rsidRDefault="009E6F45" w:rsidP="009E6F45">
            <w:pPr>
              <w:spacing w:after="0" w:line="240" w:lineRule="auto"/>
              <w:jc w:val="center"/>
              <w:rPr>
                <w:rFonts w:eastAsia="Times New Roman"/>
                <w:sz w:val="20"/>
                <w:szCs w:val="20"/>
              </w:rPr>
            </w:pPr>
          </w:p>
        </w:tc>
        <w:tc>
          <w:tcPr>
            <w:tcW w:w="1400" w:type="dxa"/>
            <w:shd w:val="clear" w:color="auto" w:fill="auto"/>
            <w:noWrap/>
            <w:vAlign w:val="bottom"/>
            <w:hideMark/>
          </w:tcPr>
          <w:p w14:paraId="3E9ABD14" w14:textId="77777777" w:rsidR="009E6F45" w:rsidRPr="009E6F45" w:rsidRDefault="009E6F45" w:rsidP="009E6F45">
            <w:pPr>
              <w:spacing w:after="0" w:line="240" w:lineRule="auto"/>
              <w:jc w:val="center"/>
              <w:rPr>
                <w:rFonts w:eastAsia="Times New Roman"/>
                <w:sz w:val="20"/>
                <w:szCs w:val="20"/>
              </w:rPr>
            </w:pPr>
          </w:p>
        </w:tc>
        <w:tc>
          <w:tcPr>
            <w:tcW w:w="222" w:type="dxa"/>
            <w:shd w:val="clear" w:color="auto" w:fill="auto"/>
            <w:noWrap/>
            <w:vAlign w:val="bottom"/>
            <w:hideMark/>
          </w:tcPr>
          <w:p w14:paraId="515477D7" w14:textId="77777777" w:rsidR="009E6F45" w:rsidRPr="009E6F45" w:rsidRDefault="009E6F45" w:rsidP="009E6F45">
            <w:pPr>
              <w:spacing w:after="0" w:line="240" w:lineRule="auto"/>
              <w:jc w:val="center"/>
              <w:rPr>
                <w:rFonts w:eastAsia="Times New Roman"/>
                <w:sz w:val="20"/>
                <w:szCs w:val="20"/>
              </w:rPr>
            </w:pPr>
          </w:p>
        </w:tc>
        <w:tc>
          <w:tcPr>
            <w:tcW w:w="1060" w:type="dxa"/>
            <w:shd w:val="clear" w:color="auto" w:fill="auto"/>
            <w:noWrap/>
            <w:vAlign w:val="bottom"/>
            <w:hideMark/>
          </w:tcPr>
          <w:p w14:paraId="30864933" w14:textId="77777777" w:rsidR="009E6F45" w:rsidRPr="009E6F45" w:rsidRDefault="009E6F45" w:rsidP="009E6F45">
            <w:pPr>
              <w:spacing w:after="0" w:line="240" w:lineRule="auto"/>
              <w:jc w:val="center"/>
              <w:rPr>
                <w:rFonts w:eastAsia="Times New Roman"/>
                <w:sz w:val="20"/>
                <w:szCs w:val="20"/>
              </w:rPr>
            </w:pPr>
          </w:p>
        </w:tc>
        <w:tc>
          <w:tcPr>
            <w:tcW w:w="222" w:type="dxa"/>
            <w:shd w:val="clear" w:color="auto" w:fill="auto"/>
            <w:noWrap/>
            <w:vAlign w:val="bottom"/>
            <w:hideMark/>
          </w:tcPr>
          <w:p w14:paraId="2AB2F80E" w14:textId="77777777" w:rsidR="009E6F45" w:rsidRPr="009E6F45" w:rsidRDefault="009E6F45" w:rsidP="009E6F45">
            <w:pPr>
              <w:spacing w:after="0" w:line="240" w:lineRule="auto"/>
              <w:jc w:val="center"/>
              <w:rPr>
                <w:rFonts w:eastAsia="Times New Roman"/>
                <w:sz w:val="20"/>
                <w:szCs w:val="20"/>
              </w:rPr>
            </w:pPr>
          </w:p>
        </w:tc>
        <w:tc>
          <w:tcPr>
            <w:tcW w:w="1060" w:type="dxa"/>
            <w:shd w:val="clear" w:color="auto" w:fill="auto"/>
            <w:noWrap/>
            <w:vAlign w:val="bottom"/>
            <w:hideMark/>
          </w:tcPr>
          <w:p w14:paraId="2EE2F25A" w14:textId="77777777" w:rsidR="009E6F45" w:rsidRPr="009E6F45" w:rsidRDefault="009E6F45" w:rsidP="009E6F45">
            <w:pPr>
              <w:spacing w:after="0" w:line="240" w:lineRule="auto"/>
              <w:jc w:val="center"/>
              <w:rPr>
                <w:rFonts w:eastAsia="Times New Roman"/>
                <w:sz w:val="20"/>
                <w:szCs w:val="20"/>
              </w:rPr>
            </w:pPr>
          </w:p>
        </w:tc>
        <w:tc>
          <w:tcPr>
            <w:tcW w:w="222" w:type="dxa"/>
            <w:shd w:val="clear" w:color="auto" w:fill="auto"/>
            <w:noWrap/>
            <w:vAlign w:val="bottom"/>
            <w:hideMark/>
          </w:tcPr>
          <w:p w14:paraId="53782230" w14:textId="77777777" w:rsidR="009E6F45" w:rsidRPr="009E6F45" w:rsidRDefault="009E6F45" w:rsidP="009E6F45">
            <w:pPr>
              <w:spacing w:after="0" w:line="240" w:lineRule="auto"/>
              <w:jc w:val="center"/>
              <w:rPr>
                <w:rFonts w:eastAsia="Times New Roman"/>
                <w:sz w:val="20"/>
                <w:szCs w:val="20"/>
              </w:rPr>
            </w:pPr>
          </w:p>
        </w:tc>
        <w:tc>
          <w:tcPr>
            <w:tcW w:w="1336" w:type="dxa"/>
            <w:shd w:val="clear" w:color="auto" w:fill="auto"/>
            <w:noWrap/>
            <w:vAlign w:val="bottom"/>
            <w:hideMark/>
          </w:tcPr>
          <w:p w14:paraId="42C46DD2" w14:textId="77777777" w:rsidR="009E6F45" w:rsidRPr="009E6F45" w:rsidRDefault="009E6F45" w:rsidP="009E6F45">
            <w:pPr>
              <w:spacing w:after="0" w:line="240" w:lineRule="auto"/>
              <w:jc w:val="center"/>
              <w:rPr>
                <w:rFonts w:eastAsia="Times New Roman"/>
                <w:sz w:val="20"/>
                <w:szCs w:val="20"/>
              </w:rPr>
            </w:pPr>
          </w:p>
        </w:tc>
      </w:tr>
      <w:tr w:rsidR="0097402A" w:rsidRPr="009E6F45" w14:paraId="78D0E025" w14:textId="77777777" w:rsidTr="00517320">
        <w:trPr>
          <w:trHeight w:val="312"/>
        </w:trPr>
        <w:tc>
          <w:tcPr>
            <w:tcW w:w="1400" w:type="dxa"/>
            <w:vMerge w:val="restart"/>
            <w:shd w:val="clear" w:color="auto" w:fill="auto"/>
            <w:noWrap/>
            <w:vAlign w:val="bottom"/>
          </w:tcPr>
          <w:p w14:paraId="3726EA8E" w14:textId="6B6ACEB0" w:rsidR="0097402A" w:rsidRPr="009E6F45" w:rsidRDefault="0097402A" w:rsidP="0097402A">
            <w:pPr>
              <w:spacing w:after="0" w:line="240" w:lineRule="auto"/>
              <w:jc w:val="center"/>
              <w:rPr>
                <w:rFonts w:eastAsia="Times New Roman"/>
                <w:color w:val="000000"/>
              </w:rPr>
            </w:pPr>
            <w:r w:rsidRPr="009E6F45">
              <w:rPr>
                <w:rFonts w:eastAsia="Times New Roman"/>
                <w:color w:val="000000"/>
              </w:rPr>
              <w:t>Post-Institute</w:t>
            </w:r>
          </w:p>
        </w:tc>
        <w:tc>
          <w:tcPr>
            <w:tcW w:w="1300" w:type="dxa"/>
            <w:shd w:val="clear" w:color="auto" w:fill="auto"/>
            <w:noWrap/>
            <w:vAlign w:val="bottom"/>
          </w:tcPr>
          <w:p w14:paraId="6B01138A" w14:textId="7B4310DA" w:rsidR="0097402A" w:rsidRPr="009E6F45" w:rsidRDefault="0097402A" w:rsidP="0097402A">
            <w:pPr>
              <w:spacing w:after="0" w:line="240" w:lineRule="auto"/>
              <w:rPr>
                <w:rFonts w:eastAsia="Times New Roman"/>
                <w:sz w:val="20"/>
                <w:szCs w:val="20"/>
              </w:rPr>
            </w:pPr>
            <w:r w:rsidRPr="009E6F45">
              <w:rPr>
                <w:rFonts w:eastAsia="Times New Roman"/>
                <w:color w:val="000000"/>
              </w:rPr>
              <w:t>Mode</w:t>
            </w:r>
          </w:p>
        </w:tc>
        <w:tc>
          <w:tcPr>
            <w:tcW w:w="1480" w:type="dxa"/>
            <w:shd w:val="clear" w:color="auto" w:fill="auto"/>
            <w:noWrap/>
            <w:vAlign w:val="bottom"/>
          </w:tcPr>
          <w:p w14:paraId="235779B0" w14:textId="56EA679E" w:rsidR="0097402A" w:rsidRPr="009E6F45" w:rsidRDefault="0097402A" w:rsidP="0097402A">
            <w:pPr>
              <w:spacing w:after="0" w:line="240" w:lineRule="auto"/>
              <w:jc w:val="center"/>
              <w:rPr>
                <w:rFonts w:eastAsia="Times New Roman"/>
                <w:sz w:val="20"/>
                <w:szCs w:val="20"/>
              </w:rPr>
            </w:pPr>
            <w:r>
              <w:rPr>
                <w:rFonts w:eastAsia="Times New Roman"/>
                <w:color w:val="000000"/>
              </w:rPr>
              <w:t>4</w:t>
            </w:r>
          </w:p>
        </w:tc>
        <w:tc>
          <w:tcPr>
            <w:tcW w:w="222" w:type="dxa"/>
            <w:shd w:val="clear" w:color="auto" w:fill="auto"/>
            <w:noWrap/>
            <w:vAlign w:val="bottom"/>
          </w:tcPr>
          <w:p w14:paraId="6DE425C8" w14:textId="77777777" w:rsidR="0097402A" w:rsidRPr="009E6F45" w:rsidRDefault="0097402A" w:rsidP="0097402A">
            <w:pPr>
              <w:spacing w:after="0" w:line="240" w:lineRule="auto"/>
              <w:jc w:val="center"/>
              <w:rPr>
                <w:rFonts w:eastAsia="Times New Roman"/>
                <w:sz w:val="20"/>
                <w:szCs w:val="20"/>
              </w:rPr>
            </w:pPr>
          </w:p>
        </w:tc>
        <w:tc>
          <w:tcPr>
            <w:tcW w:w="1400" w:type="dxa"/>
            <w:shd w:val="clear" w:color="auto" w:fill="auto"/>
            <w:noWrap/>
            <w:vAlign w:val="bottom"/>
          </w:tcPr>
          <w:p w14:paraId="648A697B" w14:textId="7995EBF1"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c>
          <w:tcPr>
            <w:tcW w:w="222" w:type="dxa"/>
            <w:shd w:val="clear" w:color="auto" w:fill="auto"/>
            <w:noWrap/>
            <w:vAlign w:val="bottom"/>
          </w:tcPr>
          <w:p w14:paraId="2CFD8F64" w14:textId="77777777" w:rsidR="0097402A" w:rsidRPr="009E6F45" w:rsidRDefault="0097402A" w:rsidP="0097402A">
            <w:pPr>
              <w:spacing w:after="0" w:line="240" w:lineRule="auto"/>
              <w:jc w:val="center"/>
              <w:rPr>
                <w:rFonts w:eastAsia="Times New Roman"/>
                <w:sz w:val="20"/>
                <w:szCs w:val="20"/>
              </w:rPr>
            </w:pPr>
          </w:p>
        </w:tc>
        <w:tc>
          <w:tcPr>
            <w:tcW w:w="1060" w:type="dxa"/>
            <w:shd w:val="clear" w:color="auto" w:fill="auto"/>
            <w:noWrap/>
            <w:vAlign w:val="bottom"/>
          </w:tcPr>
          <w:p w14:paraId="1672C4E6" w14:textId="07896AB3" w:rsidR="0097402A" w:rsidRPr="009E6F45" w:rsidRDefault="0097402A" w:rsidP="0097402A">
            <w:pPr>
              <w:spacing w:after="0" w:line="240" w:lineRule="auto"/>
              <w:jc w:val="center"/>
              <w:rPr>
                <w:rFonts w:eastAsia="Times New Roman"/>
                <w:sz w:val="20"/>
                <w:szCs w:val="20"/>
              </w:rPr>
            </w:pPr>
            <w:r>
              <w:rPr>
                <w:rFonts w:eastAsia="Times New Roman"/>
                <w:color w:val="000000"/>
              </w:rPr>
              <w:t>4</w:t>
            </w:r>
          </w:p>
        </w:tc>
        <w:tc>
          <w:tcPr>
            <w:tcW w:w="222" w:type="dxa"/>
            <w:shd w:val="clear" w:color="auto" w:fill="auto"/>
            <w:noWrap/>
            <w:vAlign w:val="bottom"/>
          </w:tcPr>
          <w:p w14:paraId="4BF86FAA" w14:textId="77777777" w:rsidR="0097402A" w:rsidRPr="009E6F45" w:rsidRDefault="0097402A" w:rsidP="0097402A">
            <w:pPr>
              <w:spacing w:after="0" w:line="240" w:lineRule="auto"/>
              <w:jc w:val="center"/>
              <w:rPr>
                <w:rFonts w:eastAsia="Times New Roman"/>
                <w:sz w:val="20"/>
                <w:szCs w:val="20"/>
              </w:rPr>
            </w:pPr>
          </w:p>
        </w:tc>
        <w:tc>
          <w:tcPr>
            <w:tcW w:w="1060" w:type="dxa"/>
            <w:shd w:val="clear" w:color="auto" w:fill="auto"/>
            <w:noWrap/>
            <w:vAlign w:val="bottom"/>
          </w:tcPr>
          <w:p w14:paraId="14E0AADF" w14:textId="3DCF091A"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c>
          <w:tcPr>
            <w:tcW w:w="222" w:type="dxa"/>
            <w:shd w:val="clear" w:color="auto" w:fill="auto"/>
            <w:noWrap/>
            <w:vAlign w:val="bottom"/>
          </w:tcPr>
          <w:p w14:paraId="0A07E5E3" w14:textId="77777777" w:rsidR="0097402A" w:rsidRPr="009E6F45" w:rsidRDefault="0097402A" w:rsidP="0097402A">
            <w:pPr>
              <w:spacing w:after="0" w:line="240" w:lineRule="auto"/>
              <w:jc w:val="center"/>
              <w:rPr>
                <w:rFonts w:eastAsia="Times New Roman"/>
                <w:sz w:val="20"/>
                <w:szCs w:val="20"/>
              </w:rPr>
            </w:pPr>
          </w:p>
        </w:tc>
        <w:tc>
          <w:tcPr>
            <w:tcW w:w="1336" w:type="dxa"/>
            <w:shd w:val="clear" w:color="auto" w:fill="auto"/>
            <w:noWrap/>
            <w:vAlign w:val="bottom"/>
          </w:tcPr>
          <w:p w14:paraId="6C0AE3C5" w14:textId="4A9D0D80"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r>
      <w:tr w:rsidR="0097402A" w:rsidRPr="009E6F45" w14:paraId="0A0AA089" w14:textId="77777777" w:rsidTr="00517320">
        <w:trPr>
          <w:trHeight w:val="312"/>
        </w:trPr>
        <w:tc>
          <w:tcPr>
            <w:tcW w:w="1400" w:type="dxa"/>
            <w:vMerge/>
            <w:shd w:val="clear" w:color="auto" w:fill="auto"/>
            <w:noWrap/>
            <w:vAlign w:val="bottom"/>
          </w:tcPr>
          <w:p w14:paraId="28CD2082" w14:textId="77777777" w:rsidR="0097402A" w:rsidRPr="009E6F45" w:rsidRDefault="0097402A" w:rsidP="0097402A">
            <w:pPr>
              <w:spacing w:after="0" w:line="240" w:lineRule="auto"/>
              <w:jc w:val="center"/>
              <w:rPr>
                <w:rFonts w:eastAsia="Times New Roman"/>
                <w:color w:val="000000"/>
              </w:rPr>
            </w:pPr>
          </w:p>
        </w:tc>
        <w:tc>
          <w:tcPr>
            <w:tcW w:w="1300" w:type="dxa"/>
            <w:shd w:val="clear" w:color="auto" w:fill="auto"/>
            <w:noWrap/>
            <w:vAlign w:val="bottom"/>
          </w:tcPr>
          <w:p w14:paraId="6064E57B" w14:textId="061BC64A" w:rsidR="0097402A" w:rsidRPr="009E6F45" w:rsidRDefault="0097402A" w:rsidP="0097402A">
            <w:pPr>
              <w:spacing w:after="0" w:line="240" w:lineRule="auto"/>
              <w:rPr>
                <w:rFonts w:eastAsia="Times New Roman"/>
                <w:sz w:val="20"/>
                <w:szCs w:val="20"/>
              </w:rPr>
            </w:pPr>
            <w:r w:rsidRPr="009E6F45">
              <w:rPr>
                <w:rFonts w:eastAsia="Times New Roman"/>
                <w:color w:val="000000"/>
              </w:rPr>
              <w:t>Median</w:t>
            </w:r>
          </w:p>
        </w:tc>
        <w:tc>
          <w:tcPr>
            <w:tcW w:w="1480" w:type="dxa"/>
            <w:shd w:val="clear" w:color="auto" w:fill="auto"/>
            <w:noWrap/>
            <w:vAlign w:val="bottom"/>
          </w:tcPr>
          <w:p w14:paraId="19C479C0" w14:textId="7292AFBD" w:rsidR="0097402A" w:rsidRPr="009E6F45" w:rsidRDefault="0097402A" w:rsidP="0097402A">
            <w:pPr>
              <w:spacing w:after="0" w:line="240" w:lineRule="auto"/>
              <w:jc w:val="center"/>
              <w:rPr>
                <w:rFonts w:eastAsia="Times New Roman"/>
                <w:sz w:val="20"/>
                <w:szCs w:val="20"/>
              </w:rPr>
            </w:pPr>
            <w:r>
              <w:rPr>
                <w:rFonts w:eastAsia="Times New Roman"/>
                <w:color w:val="000000"/>
              </w:rPr>
              <w:t>4</w:t>
            </w:r>
          </w:p>
        </w:tc>
        <w:tc>
          <w:tcPr>
            <w:tcW w:w="222" w:type="dxa"/>
            <w:shd w:val="clear" w:color="auto" w:fill="auto"/>
            <w:noWrap/>
            <w:vAlign w:val="bottom"/>
          </w:tcPr>
          <w:p w14:paraId="217F7AF7" w14:textId="77777777" w:rsidR="0097402A" w:rsidRPr="009E6F45" w:rsidRDefault="0097402A" w:rsidP="0097402A">
            <w:pPr>
              <w:spacing w:after="0" w:line="240" w:lineRule="auto"/>
              <w:jc w:val="center"/>
              <w:rPr>
                <w:rFonts w:eastAsia="Times New Roman"/>
                <w:sz w:val="20"/>
                <w:szCs w:val="20"/>
              </w:rPr>
            </w:pPr>
          </w:p>
        </w:tc>
        <w:tc>
          <w:tcPr>
            <w:tcW w:w="1400" w:type="dxa"/>
            <w:shd w:val="clear" w:color="auto" w:fill="auto"/>
            <w:noWrap/>
            <w:vAlign w:val="bottom"/>
          </w:tcPr>
          <w:p w14:paraId="329D22C2" w14:textId="006CE1F8"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c>
          <w:tcPr>
            <w:tcW w:w="222" w:type="dxa"/>
            <w:shd w:val="clear" w:color="auto" w:fill="auto"/>
            <w:noWrap/>
            <w:vAlign w:val="bottom"/>
          </w:tcPr>
          <w:p w14:paraId="514B3BD3" w14:textId="77777777" w:rsidR="0097402A" w:rsidRPr="009E6F45" w:rsidRDefault="0097402A" w:rsidP="0097402A">
            <w:pPr>
              <w:spacing w:after="0" w:line="240" w:lineRule="auto"/>
              <w:jc w:val="center"/>
              <w:rPr>
                <w:rFonts w:eastAsia="Times New Roman"/>
                <w:sz w:val="20"/>
                <w:szCs w:val="20"/>
              </w:rPr>
            </w:pPr>
          </w:p>
        </w:tc>
        <w:tc>
          <w:tcPr>
            <w:tcW w:w="1060" w:type="dxa"/>
            <w:shd w:val="clear" w:color="auto" w:fill="auto"/>
            <w:noWrap/>
            <w:vAlign w:val="bottom"/>
          </w:tcPr>
          <w:p w14:paraId="4E42F534" w14:textId="6C25A7C1" w:rsidR="0097402A" w:rsidRPr="009E6F45" w:rsidRDefault="0097402A" w:rsidP="0097402A">
            <w:pPr>
              <w:spacing w:after="0" w:line="240" w:lineRule="auto"/>
              <w:jc w:val="center"/>
              <w:rPr>
                <w:rFonts w:eastAsia="Times New Roman"/>
                <w:sz w:val="20"/>
                <w:szCs w:val="20"/>
              </w:rPr>
            </w:pPr>
            <w:r>
              <w:rPr>
                <w:rFonts w:eastAsia="Times New Roman"/>
                <w:color w:val="000000"/>
              </w:rPr>
              <w:t>4</w:t>
            </w:r>
          </w:p>
        </w:tc>
        <w:tc>
          <w:tcPr>
            <w:tcW w:w="222" w:type="dxa"/>
            <w:shd w:val="clear" w:color="auto" w:fill="auto"/>
            <w:noWrap/>
            <w:vAlign w:val="bottom"/>
          </w:tcPr>
          <w:p w14:paraId="79C5A6C7" w14:textId="77777777" w:rsidR="0097402A" w:rsidRPr="009E6F45" w:rsidRDefault="0097402A" w:rsidP="0097402A">
            <w:pPr>
              <w:spacing w:after="0" w:line="240" w:lineRule="auto"/>
              <w:jc w:val="center"/>
              <w:rPr>
                <w:rFonts w:eastAsia="Times New Roman"/>
                <w:sz w:val="20"/>
                <w:szCs w:val="20"/>
              </w:rPr>
            </w:pPr>
          </w:p>
        </w:tc>
        <w:tc>
          <w:tcPr>
            <w:tcW w:w="1060" w:type="dxa"/>
            <w:shd w:val="clear" w:color="auto" w:fill="auto"/>
            <w:noWrap/>
            <w:vAlign w:val="bottom"/>
          </w:tcPr>
          <w:p w14:paraId="2E9C06CC" w14:textId="7BA18DF3"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c>
          <w:tcPr>
            <w:tcW w:w="222" w:type="dxa"/>
            <w:shd w:val="clear" w:color="auto" w:fill="auto"/>
            <w:noWrap/>
            <w:vAlign w:val="bottom"/>
          </w:tcPr>
          <w:p w14:paraId="32BD862B" w14:textId="77777777" w:rsidR="0097402A" w:rsidRPr="009E6F45" w:rsidRDefault="0097402A" w:rsidP="0097402A">
            <w:pPr>
              <w:spacing w:after="0" w:line="240" w:lineRule="auto"/>
              <w:jc w:val="center"/>
              <w:rPr>
                <w:rFonts w:eastAsia="Times New Roman"/>
                <w:sz w:val="20"/>
                <w:szCs w:val="20"/>
              </w:rPr>
            </w:pPr>
          </w:p>
        </w:tc>
        <w:tc>
          <w:tcPr>
            <w:tcW w:w="1336" w:type="dxa"/>
            <w:shd w:val="clear" w:color="auto" w:fill="auto"/>
            <w:noWrap/>
            <w:vAlign w:val="bottom"/>
          </w:tcPr>
          <w:p w14:paraId="2BD0F318" w14:textId="7FCF8BCC" w:rsidR="0097402A" w:rsidRPr="009E6F45" w:rsidRDefault="0097402A" w:rsidP="0097402A">
            <w:pPr>
              <w:spacing w:after="0" w:line="240" w:lineRule="auto"/>
              <w:jc w:val="center"/>
              <w:rPr>
                <w:rFonts w:eastAsia="Times New Roman"/>
                <w:sz w:val="20"/>
                <w:szCs w:val="20"/>
              </w:rPr>
            </w:pPr>
            <w:r w:rsidRPr="009E6F45">
              <w:rPr>
                <w:rFonts w:eastAsia="Times New Roman"/>
                <w:color w:val="000000"/>
              </w:rPr>
              <w:t>3</w:t>
            </w:r>
          </w:p>
        </w:tc>
      </w:tr>
    </w:tbl>
    <w:p w14:paraId="5F66381C" w14:textId="7CD67801" w:rsidR="000F0F81" w:rsidRDefault="000F0F81" w:rsidP="004D33DC"/>
    <w:p w14:paraId="3A29B071" w14:textId="4EB58DAA" w:rsidR="004D33DC" w:rsidRDefault="000F0F81" w:rsidP="004D33DC">
      <w:r>
        <w:rPr>
          <w:i/>
          <w:color w:val="0000FF"/>
        </w:rPr>
        <w:t>Discourse</w:t>
      </w:r>
    </w:p>
    <w:p w14:paraId="1EE3B1F0" w14:textId="62005A22" w:rsidR="00F45BE0" w:rsidRDefault="004D33DC" w:rsidP="00F45BE0">
      <w:r>
        <w:t xml:space="preserve">Table </w:t>
      </w:r>
      <w:r w:rsidR="00C14DED">
        <w:t>2</w:t>
      </w:r>
      <w:r w:rsidR="000F0F81">
        <w:t xml:space="preserve"> provides</w:t>
      </w:r>
      <w:r>
        <w:t xml:space="preserve"> the ratings for teachers’ performance on the five </w:t>
      </w:r>
      <w:r w:rsidR="007748FA">
        <w:t>indicators</w:t>
      </w:r>
      <w:r>
        <w:t xml:space="preserve"> measured under the Discourse factor. The teachers </w:t>
      </w:r>
      <w:r w:rsidR="001C73A0">
        <w:t>showed overall improvement</w:t>
      </w:r>
      <w:r>
        <w:t xml:space="preserve"> </w:t>
      </w:r>
      <w:r w:rsidR="007748FA">
        <w:t xml:space="preserve">on the </w:t>
      </w:r>
      <w:r>
        <w:t>“</w:t>
      </w:r>
      <w:r w:rsidR="001C73A0">
        <w:t>Complexity of Questions</w:t>
      </w:r>
      <w:r w:rsidR="00F45BE0">
        <w:t>,</w:t>
      </w:r>
      <w:r>
        <w:t>” “</w:t>
      </w:r>
      <w:r w:rsidR="001C73A0">
        <w:t>Questioning Ecology</w:t>
      </w:r>
      <w:r w:rsidR="00F45BE0">
        <w:t>,</w:t>
      </w:r>
      <w:r>
        <w:t xml:space="preserve">” </w:t>
      </w:r>
      <w:r w:rsidR="00F45BE0">
        <w:t xml:space="preserve">and “Classroom Interactions” </w:t>
      </w:r>
      <w:r w:rsidR="007748FA">
        <w:t>indicators</w:t>
      </w:r>
      <w:r>
        <w:t xml:space="preserve">, </w:t>
      </w:r>
      <w:r w:rsidR="00933728">
        <w:t>moving from</w:t>
      </w:r>
      <w:r>
        <w:t xml:space="preserve"> the Developing Inquiry </w:t>
      </w:r>
      <w:r w:rsidR="00933728">
        <w:t>category level to the Proficient Inquiry level</w:t>
      </w:r>
      <w:r w:rsidR="00F45BE0">
        <w:t xml:space="preserve"> on each scale</w:t>
      </w:r>
      <w:r w:rsidR="00933728">
        <w:t xml:space="preserve">. These suggest </w:t>
      </w:r>
      <w:r>
        <w:t xml:space="preserve">that teachers had </w:t>
      </w:r>
      <w:r w:rsidR="00933728">
        <w:t>increase</w:t>
      </w:r>
      <w:r w:rsidR="007748FA">
        <w:t>d</w:t>
      </w:r>
      <w:r>
        <w:t xml:space="preserve"> success in engaging students in </w:t>
      </w:r>
      <w:r w:rsidR="00933728">
        <w:t xml:space="preserve">more open-ended </w:t>
      </w:r>
      <w:r>
        <w:t>discussion</w:t>
      </w:r>
      <w:r w:rsidR="007748FA">
        <w:t>s</w:t>
      </w:r>
      <w:r>
        <w:t xml:space="preserve"> and </w:t>
      </w:r>
      <w:r w:rsidR="00933728">
        <w:t xml:space="preserve">did a better job </w:t>
      </w:r>
      <w:r w:rsidR="00F45BE0">
        <w:t xml:space="preserve">of </w:t>
      </w:r>
      <w:r w:rsidR="00933728">
        <w:t>challenging students to explain and justify their answers.</w:t>
      </w:r>
      <w:r w:rsidR="00F45BE0">
        <w:t xml:space="preserve"> Combined, these three indicators reflected that teachers had increased success in engaging students in more open-ended discussions and did a better job of challenging students to explain and justify their answers. </w:t>
      </w:r>
    </w:p>
    <w:p w14:paraId="3C7E0EE7" w14:textId="033F4046" w:rsidR="006F3DE5" w:rsidRDefault="004D33DC" w:rsidP="004D33DC">
      <w:r>
        <w:t>Across all teachers’ ratings for Discourse constructs, Pre-Inquiry was selected five times</w:t>
      </w:r>
      <w:r w:rsidR="00F45BE0">
        <w:t xml:space="preserve"> on the pre-observation</w:t>
      </w:r>
      <w:r>
        <w:t xml:space="preserve">, occurring </w:t>
      </w:r>
      <w:r w:rsidR="00AB384D">
        <w:t>three times for one teacher (a second observation of this teacher showed notable increases on this construct)</w:t>
      </w:r>
      <w:r>
        <w:t xml:space="preserve">. The Exemplary Inquiry rating was selected </w:t>
      </w:r>
      <w:r w:rsidR="00F45BE0">
        <w:t xml:space="preserve">four </w:t>
      </w:r>
      <w:r>
        <w:t>time</w:t>
      </w:r>
      <w:r w:rsidR="00F45BE0">
        <w:t>s</w:t>
      </w:r>
      <w:r>
        <w:t xml:space="preserve">, occurring in </w:t>
      </w:r>
      <w:r w:rsidR="00F45BE0">
        <w:t>all of the factors except “Questioning Level</w:t>
      </w:r>
      <w:r w:rsidR="00AB384D">
        <w:t>.</w:t>
      </w:r>
      <w:r w:rsidR="00F45BE0">
        <w:t>”</w:t>
      </w:r>
      <w:r>
        <w:t xml:space="preserve"> </w:t>
      </w:r>
      <w:r w:rsidR="0035394E">
        <w:t xml:space="preserve">The overall ratings for Discourse showed teachers to have achieved a level of </w:t>
      </w:r>
      <w:r w:rsidR="00AB384D">
        <w:t>Proficient</w:t>
      </w:r>
      <w:r w:rsidR="0035394E">
        <w:t xml:space="preserve"> for the lessons observed.</w:t>
      </w:r>
    </w:p>
    <w:p w14:paraId="01668D16" w14:textId="428EB6C6" w:rsidR="000F0F81" w:rsidRPr="0097402A" w:rsidRDefault="004D33DC" w:rsidP="004D33DC">
      <w:pPr>
        <w:rPr>
          <w:i/>
          <w:color w:val="0000FF"/>
        </w:rPr>
      </w:pPr>
      <w:r w:rsidRPr="0097402A">
        <w:rPr>
          <w:i/>
          <w:color w:val="0000FF"/>
        </w:rPr>
        <w:t xml:space="preserve">Table </w:t>
      </w:r>
      <w:r w:rsidR="00C14DED">
        <w:rPr>
          <w:i/>
          <w:color w:val="0000FF"/>
        </w:rPr>
        <w:t>2</w:t>
      </w:r>
      <w:r w:rsidR="006F3DE5" w:rsidRPr="0097402A">
        <w:rPr>
          <w:i/>
          <w:color w:val="0000FF"/>
        </w:rPr>
        <w:t>.</w:t>
      </w:r>
      <w:r w:rsidRPr="0097402A">
        <w:rPr>
          <w:i/>
          <w:color w:val="0000FF"/>
        </w:rPr>
        <w:t xml:space="preserve"> </w:t>
      </w:r>
      <w:r w:rsidR="001C73A0" w:rsidRPr="0097402A">
        <w:rPr>
          <w:i/>
          <w:color w:val="0000FF"/>
        </w:rPr>
        <w:t>Comparison of Cohort 1</w:t>
      </w:r>
      <w:r w:rsidR="0097402A">
        <w:rPr>
          <w:i/>
          <w:color w:val="0000FF"/>
        </w:rPr>
        <w:t>&amp; 2</w:t>
      </w:r>
      <w:r w:rsidR="001C73A0" w:rsidRPr="0097402A">
        <w:rPr>
          <w:i/>
          <w:color w:val="0000FF"/>
        </w:rPr>
        <w:t xml:space="preserve"> observations scores for Discourse Factors</w:t>
      </w:r>
    </w:p>
    <w:tbl>
      <w:tblPr>
        <w:tblW w:w="10620" w:type="dxa"/>
        <w:tblInd w:w="-625" w:type="dxa"/>
        <w:tblBorders>
          <w:insideH w:val="single" w:sz="4" w:space="0" w:color="auto"/>
          <w:insideV w:val="single" w:sz="4" w:space="0" w:color="auto"/>
        </w:tblBorders>
        <w:tblLook w:val="04A0" w:firstRow="1" w:lastRow="0" w:firstColumn="1" w:lastColumn="0" w:noHBand="0" w:noVBand="1"/>
      </w:tblPr>
      <w:tblGrid>
        <w:gridCol w:w="1003"/>
        <w:gridCol w:w="1067"/>
        <w:gridCol w:w="1390"/>
        <w:gridCol w:w="236"/>
        <w:gridCol w:w="1524"/>
        <w:gridCol w:w="270"/>
        <w:gridCol w:w="1440"/>
        <w:gridCol w:w="270"/>
        <w:gridCol w:w="1800"/>
        <w:gridCol w:w="270"/>
        <w:gridCol w:w="1350"/>
      </w:tblGrid>
      <w:tr w:rsidR="001C73A0" w:rsidRPr="001C73A0" w14:paraId="61CA3119" w14:textId="77777777" w:rsidTr="00826FE0">
        <w:trPr>
          <w:trHeight w:val="624"/>
        </w:trPr>
        <w:tc>
          <w:tcPr>
            <w:tcW w:w="1003" w:type="dxa"/>
            <w:shd w:val="clear" w:color="auto" w:fill="auto"/>
            <w:noWrap/>
            <w:vAlign w:val="bottom"/>
            <w:hideMark/>
          </w:tcPr>
          <w:p w14:paraId="5C7A5706" w14:textId="77777777" w:rsidR="001C73A0" w:rsidRPr="001C73A0" w:rsidRDefault="001C73A0" w:rsidP="001C73A0">
            <w:pPr>
              <w:spacing w:after="0" w:line="240" w:lineRule="auto"/>
              <w:rPr>
                <w:rFonts w:eastAsia="Times New Roman"/>
              </w:rPr>
            </w:pPr>
          </w:p>
        </w:tc>
        <w:tc>
          <w:tcPr>
            <w:tcW w:w="1067" w:type="dxa"/>
            <w:shd w:val="clear" w:color="auto" w:fill="auto"/>
            <w:noWrap/>
            <w:vAlign w:val="bottom"/>
            <w:hideMark/>
          </w:tcPr>
          <w:p w14:paraId="5C695715" w14:textId="77777777" w:rsidR="001C73A0" w:rsidRPr="001C73A0" w:rsidRDefault="001C73A0" w:rsidP="001C73A0">
            <w:pPr>
              <w:spacing w:after="0" w:line="240" w:lineRule="auto"/>
              <w:rPr>
                <w:rFonts w:eastAsia="Times New Roman"/>
                <w:sz w:val="20"/>
                <w:szCs w:val="20"/>
              </w:rPr>
            </w:pPr>
          </w:p>
        </w:tc>
        <w:tc>
          <w:tcPr>
            <w:tcW w:w="1390" w:type="dxa"/>
            <w:shd w:val="clear" w:color="auto" w:fill="auto"/>
            <w:vAlign w:val="bottom"/>
            <w:hideMark/>
          </w:tcPr>
          <w:p w14:paraId="503EB751" w14:textId="77777777" w:rsidR="001C73A0" w:rsidRPr="00CE6F92" w:rsidRDefault="001C73A0" w:rsidP="001C73A0">
            <w:pPr>
              <w:spacing w:after="0" w:line="240" w:lineRule="auto"/>
              <w:jc w:val="center"/>
              <w:rPr>
                <w:color w:val="3514DC"/>
              </w:rPr>
            </w:pPr>
            <w:r w:rsidRPr="00CE6F92">
              <w:rPr>
                <w:color w:val="3514DC"/>
              </w:rPr>
              <w:t>Questioning Level</w:t>
            </w:r>
          </w:p>
        </w:tc>
        <w:tc>
          <w:tcPr>
            <w:tcW w:w="236" w:type="dxa"/>
            <w:shd w:val="clear" w:color="auto" w:fill="auto"/>
            <w:noWrap/>
            <w:vAlign w:val="bottom"/>
            <w:hideMark/>
          </w:tcPr>
          <w:p w14:paraId="110B6D7A" w14:textId="77777777" w:rsidR="001C73A0" w:rsidRPr="00CE6F92" w:rsidRDefault="001C73A0" w:rsidP="001C73A0">
            <w:pPr>
              <w:spacing w:after="0" w:line="240" w:lineRule="auto"/>
              <w:jc w:val="center"/>
              <w:rPr>
                <w:color w:val="3514DC"/>
              </w:rPr>
            </w:pPr>
          </w:p>
        </w:tc>
        <w:tc>
          <w:tcPr>
            <w:tcW w:w="1524" w:type="dxa"/>
            <w:shd w:val="clear" w:color="auto" w:fill="auto"/>
            <w:vAlign w:val="bottom"/>
            <w:hideMark/>
          </w:tcPr>
          <w:p w14:paraId="7E73ACFF" w14:textId="77777777" w:rsidR="001C73A0" w:rsidRPr="00CE6F92" w:rsidRDefault="001C73A0" w:rsidP="001C73A0">
            <w:pPr>
              <w:spacing w:after="0" w:line="240" w:lineRule="auto"/>
              <w:jc w:val="center"/>
              <w:rPr>
                <w:color w:val="3514DC"/>
              </w:rPr>
            </w:pPr>
            <w:r w:rsidRPr="00CE6F92">
              <w:rPr>
                <w:color w:val="3514DC"/>
              </w:rPr>
              <w:t>Complexity of Questions</w:t>
            </w:r>
          </w:p>
        </w:tc>
        <w:tc>
          <w:tcPr>
            <w:tcW w:w="270" w:type="dxa"/>
            <w:shd w:val="clear" w:color="auto" w:fill="auto"/>
            <w:noWrap/>
            <w:vAlign w:val="bottom"/>
            <w:hideMark/>
          </w:tcPr>
          <w:p w14:paraId="36C09E03" w14:textId="77777777" w:rsidR="001C73A0" w:rsidRPr="00CE6F92" w:rsidRDefault="001C73A0" w:rsidP="001C73A0">
            <w:pPr>
              <w:spacing w:after="0" w:line="240" w:lineRule="auto"/>
              <w:jc w:val="center"/>
              <w:rPr>
                <w:color w:val="3514DC"/>
              </w:rPr>
            </w:pPr>
          </w:p>
        </w:tc>
        <w:tc>
          <w:tcPr>
            <w:tcW w:w="1440" w:type="dxa"/>
            <w:shd w:val="clear" w:color="auto" w:fill="auto"/>
            <w:vAlign w:val="bottom"/>
            <w:hideMark/>
          </w:tcPr>
          <w:p w14:paraId="167A97CF" w14:textId="77777777" w:rsidR="001C73A0" w:rsidRPr="00CE6F92" w:rsidRDefault="001C73A0" w:rsidP="001C73A0">
            <w:pPr>
              <w:spacing w:after="0" w:line="240" w:lineRule="auto"/>
              <w:jc w:val="center"/>
              <w:rPr>
                <w:color w:val="3514DC"/>
              </w:rPr>
            </w:pPr>
            <w:r w:rsidRPr="00CE6F92">
              <w:rPr>
                <w:color w:val="3514DC"/>
              </w:rPr>
              <w:t>Questioning Ecology</w:t>
            </w:r>
          </w:p>
        </w:tc>
        <w:tc>
          <w:tcPr>
            <w:tcW w:w="270" w:type="dxa"/>
            <w:shd w:val="clear" w:color="auto" w:fill="auto"/>
            <w:noWrap/>
            <w:vAlign w:val="bottom"/>
            <w:hideMark/>
          </w:tcPr>
          <w:p w14:paraId="781E94F2" w14:textId="77777777" w:rsidR="001C73A0" w:rsidRPr="00CE6F92" w:rsidRDefault="001C73A0" w:rsidP="001C73A0">
            <w:pPr>
              <w:spacing w:after="0" w:line="240" w:lineRule="auto"/>
              <w:jc w:val="center"/>
              <w:rPr>
                <w:color w:val="3514DC"/>
              </w:rPr>
            </w:pPr>
          </w:p>
        </w:tc>
        <w:tc>
          <w:tcPr>
            <w:tcW w:w="1800" w:type="dxa"/>
            <w:shd w:val="clear" w:color="auto" w:fill="auto"/>
            <w:vAlign w:val="bottom"/>
            <w:hideMark/>
          </w:tcPr>
          <w:p w14:paraId="48450352" w14:textId="77777777" w:rsidR="001C73A0" w:rsidRPr="00CE6F92" w:rsidRDefault="001C73A0" w:rsidP="001C73A0">
            <w:pPr>
              <w:spacing w:after="0" w:line="240" w:lineRule="auto"/>
              <w:jc w:val="center"/>
              <w:rPr>
                <w:color w:val="3514DC"/>
              </w:rPr>
            </w:pPr>
            <w:r w:rsidRPr="00CE6F92">
              <w:rPr>
                <w:color w:val="3514DC"/>
              </w:rPr>
              <w:t>Communication Pattern</w:t>
            </w:r>
          </w:p>
        </w:tc>
        <w:tc>
          <w:tcPr>
            <w:tcW w:w="270" w:type="dxa"/>
            <w:shd w:val="clear" w:color="auto" w:fill="auto"/>
            <w:noWrap/>
            <w:vAlign w:val="bottom"/>
            <w:hideMark/>
          </w:tcPr>
          <w:p w14:paraId="1A9D40ED" w14:textId="77777777" w:rsidR="001C73A0" w:rsidRPr="00CE6F92" w:rsidRDefault="001C73A0" w:rsidP="001C73A0">
            <w:pPr>
              <w:spacing w:after="0" w:line="240" w:lineRule="auto"/>
              <w:jc w:val="center"/>
              <w:rPr>
                <w:color w:val="3514DC"/>
              </w:rPr>
            </w:pPr>
          </w:p>
        </w:tc>
        <w:tc>
          <w:tcPr>
            <w:tcW w:w="1350" w:type="dxa"/>
            <w:shd w:val="clear" w:color="auto" w:fill="auto"/>
            <w:vAlign w:val="bottom"/>
            <w:hideMark/>
          </w:tcPr>
          <w:p w14:paraId="1DD0794D" w14:textId="77777777" w:rsidR="001C73A0" w:rsidRPr="00CE6F92" w:rsidRDefault="001C73A0" w:rsidP="001C73A0">
            <w:pPr>
              <w:spacing w:after="0" w:line="240" w:lineRule="auto"/>
              <w:jc w:val="center"/>
              <w:rPr>
                <w:color w:val="3514DC"/>
              </w:rPr>
            </w:pPr>
            <w:r w:rsidRPr="00CE6F92">
              <w:rPr>
                <w:color w:val="3514DC"/>
              </w:rPr>
              <w:t>Classroom Interactions</w:t>
            </w:r>
          </w:p>
        </w:tc>
      </w:tr>
      <w:tr w:rsidR="001C73A0" w:rsidRPr="001C73A0" w14:paraId="02706C77" w14:textId="77777777" w:rsidTr="00826FE0">
        <w:trPr>
          <w:trHeight w:val="120"/>
        </w:trPr>
        <w:tc>
          <w:tcPr>
            <w:tcW w:w="1003" w:type="dxa"/>
            <w:shd w:val="clear" w:color="auto" w:fill="auto"/>
            <w:noWrap/>
            <w:vAlign w:val="bottom"/>
            <w:hideMark/>
          </w:tcPr>
          <w:p w14:paraId="24CA79C7" w14:textId="77777777" w:rsidR="001C73A0" w:rsidRPr="001C73A0" w:rsidRDefault="001C73A0" w:rsidP="001C73A0">
            <w:pPr>
              <w:spacing w:after="0" w:line="240" w:lineRule="auto"/>
              <w:jc w:val="center"/>
              <w:rPr>
                <w:rFonts w:eastAsia="Times New Roman"/>
                <w:color w:val="000000"/>
              </w:rPr>
            </w:pPr>
          </w:p>
        </w:tc>
        <w:tc>
          <w:tcPr>
            <w:tcW w:w="1067" w:type="dxa"/>
            <w:shd w:val="clear" w:color="auto" w:fill="auto"/>
            <w:noWrap/>
            <w:vAlign w:val="bottom"/>
            <w:hideMark/>
          </w:tcPr>
          <w:p w14:paraId="06AE9E24" w14:textId="77777777" w:rsidR="001C73A0" w:rsidRPr="001C73A0" w:rsidRDefault="001C73A0" w:rsidP="001C73A0">
            <w:pPr>
              <w:spacing w:after="0" w:line="240" w:lineRule="auto"/>
              <w:rPr>
                <w:rFonts w:eastAsia="Times New Roman"/>
                <w:sz w:val="20"/>
                <w:szCs w:val="20"/>
              </w:rPr>
            </w:pPr>
          </w:p>
        </w:tc>
        <w:tc>
          <w:tcPr>
            <w:tcW w:w="1390" w:type="dxa"/>
            <w:shd w:val="clear" w:color="auto" w:fill="auto"/>
            <w:noWrap/>
            <w:vAlign w:val="bottom"/>
            <w:hideMark/>
          </w:tcPr>
          <w:p w14:paraId="73F56C32" w14:textId="77777777" w:rsidR="001C73A0" w:rsidRPr="001C73A0" w:rsidRDefault="001C73A0" w:rsidP="001C73A0">
            <w:pPr>
              <w:spacing w:after="0" w:line="240" w:lineRule="auto"/>
              <w:rPr>
                <w:rFonts w:eastAsia="Times New Roman"/>
                <w:sz w:val="20"/>
                <w:szCs w:val="20"/>
              </w:rPr>
            </w:pPr>
          </w:p>
        </w:tc>
        <w:tc>
          <w:tcPr>
            <w:tcW w:w="236" w:type="dxa"/>
            <w:shd w:val="clear" w:color="auto" w:fill="auto"/>
            <w:noWrap/>
            <w:vAlign w:val="bottom"/>
            <w:hideMark/>
          </w:tcPr>
          <w:p w14:paraId="29449EF2" w14:textId="77777777" w:rsidR="001C73A0" w:rsidRPr="001C73A0" w:rsidRDefault="001C73A0" w:rsidP="001C73A0">
            <w:pPr>
              <w:spacing w:after="0" w:line="240" w:lineRule="auto"/>
              <w:rPr>
                <w:rFonts w:eastAsia="Times New Roman"/>
                <w:sz w:val="20"/>
                <w:szCs w:val="20"/>
              </w:rPr>
            </w:pPr>
          </w:p>
        </w:tc>
        <w:tc>
          <w:tcPr>
            <w:tcW w:w="1524" w:type="dxa"/>
            <w:shd w:val="clear" w:color="auto" w:fill="auto"/>
            <w:noWrap/>
            <w:vAlign w:val="bottom"/>
            <w:hideMark/>
          </w:tcPr>
          <w:p w14:paraId="4892693A" w14:textId="77777777" w:rsidR="001C73A0" w:rsidRPr="001C73A0" w:rsidRDefault="001C73A0" w:rsidP="001C73A0">
            <w:pPr>
              <w:spacing w:after="0" w:line="240" w:lineRule="auto"/>
              <w:rPr>
                <w:rFonts w:eastAsia="Times New Roman"/>
                <w:sz w:val="20"/>
                <w:szCs w:val="20"/>
              </w:rPr>
            </w:pPr>
          </w:p>
        </w:tc>
        <w:tc>
          <w:tcPr>
            <w:tcW w:w="270" w:type="dxa"/>
            <w:shd w:val="clear" w:color="auto" w:fill="auto"/>
            <w:noWrap/>
            <w:vAlign w:val="bottom"/>
            <w:hideMark/>
          </w:tcPr>
          <w:p w14:paraId="33DBC291" w14:textId="77777777" w:rsidR="001C73A0" w:rsidRPr="001C73A0" w:rsidRDefault="001C73A0" w:rsidP="001C73A0">
            <w:pPr>
              <w:spacing w:after="0" w:line="240" w:lineRule="auto"/>
              <w:rPr>
                <w:rFonts w:eastAsia="Times New Roman"/>
                <w:sz w:val="20"/>
                <w:szCs w:val="20"/>
              </w:rPr>
            </w:pPr>
          </w:p>
        </w:tc>
        <w:tc>
          <w:tcPr>
            <w:tcW w:w="1440" w:type="dxa"/>
            <w:shd w:val="clear" w:color="auto" w:fill="auto"/>
            <w:noWrap/>
            <w:vAlign w:val="bottom"/>
            <w:hideMark/>
          </w:tcPr>
          <w:p w14:paraId="10C40F1E" w14:textId="77777777" w:rsidR="001C73A0" w:rsidRPr="001C73A0" w:rsidRDefault="001C73A0" w:rsidP="001C73A0">
            <w:pPr>
              <w:spacing w:after="0" w:line="240" w:lineRule="auto"/>
              <w:rPr>
                <w:rFonts w:eastAsia="Times New Roman"/>
                <w:sz w:val="20"/>
                <w:szCs w:val="20"/>
              </w:rPr>
            </w:pPr>
          </w:p>
        </w:tc>
        <w:tc>
          <w:tcPr>
            <w:tcW w:w="270" w:type="dxa"/>
            <w:shd w:val="clear" w:color="auto" w:fill="auto"/>
            <w:noWrap/>
            <w:vAlign w:val="bottom"/>
            <w:hideMark/>
          </w:tcPr>
          <w:p w14:paraId="4C84AE97" w14:textId="77777777" w:rsidR="001C73A0" w:rsidRPr="001C73A0" w:rsidRDefault="001C73A0" w:rsidP="001C73A0">
            <w:pPr>
              <w:spacing w:after="0" w:line="240" w:lineRule="auto"/>
              <w:rPr>
                <w:rFonts w:eastAsia="Times New Roman"/>
                <w:sz w:val="20"/>
                <w:szCs w:val="20"/>
              </w:rPr>
            </w:pPr>
          </w:p>
        </w:tc>
        <w:tc>
          <w:tcPr>
            <w:tcW w:w="1800" w:type="dxa"/>
            <w:shd w:val="clear" w:color="auto" w:fill="auto"/>
            <w:noWrap/>
            <w:vAlign w:val="bottom"/>
            <w:hideMark/>
          </w:tcPr>
          <w:p w14:paraId="192AB5A4" w14:textId="77777777" w:rsidR="001C73A0" w:rsidRPr="001C73A0" w:rsidRDefault="001C73A0" w:rsidP="001C73A0">
            <w:pPr>
              <w:spacing w:after="0" w:line="240" w:lineRule="auto"/>
              <w:rPr>
                <w:rFonts w:eastAsia="Times New Roman"/>
                <w:sz w:val="20"/>
                <w:szCs w:val="20"/>
              </w:rPr>
            </w:pPr>
          </w:p>
        </w:tc>
        <w:tc>
          <w:tcPr>
            <w:tcW w:w="270" w:type="dxa"/>
            <w:shd w:val="clear" w:color="auto" w:fill="auto"/>
            <w:noWrap/>
            <w:vAlign w:val="bottom"/>
            <w:hideMark/>
          </w:tcPr>
          <w:p w14:paraId="168725CE" w14:textId="77777777" w:rsidR="001C73A0" w:rsidRPr="001C73A0" w:rsidRDefault="001C73A0" w:rsidP="001C73A0">
            <w:pPr>
              <w:spacing w:after="0" w:line="240" w:lineRule="auto"/>
              <w:rPr>
                <w:rFonts w:eastAsia="Times New Roman"/>
                <w:sz w:val="20"/>
                <w:szCs w:val="20"/>
              </w:rPr>
            </w:pPr>
          </w:p>
        </w:tc>
        <w:tc>
          <w:tcPr>
            <w:tcW w:w="1350" w:type="dxa"/>
            <w:shd w:val="clear" w:color="auto" w:fill="auto"/>
            <w:noWrap/>
            <w:vAlign w:val="bottom"/>
            <w:hideMark/>
          </w:tcPr>
          <w:p w14:paraId="59C1FF6A" w14:textId="77777777" w:rsidR="001C73A0" w:rsidRPr="001C73A0" w:rsidRDefault="001C73A0" w:rsidP="001C73A0">
            <w:pPr>
              <w:spacing w:after="0" w:line="240" w:lineRule="auto"/>
              <w:rPr>
                <w:rFonts w:eastAsia="Times New Roman"/>
                <w:sz w:val="20"/>
                <w:szCs w:val="20"/>
              </w:rPr>
            </w:pPr>
          </w:p>
        </w:tc>
      </w:tr>
      <w:tr w:rsidR="001C73A0" w:rsidRPr="001C73A0" w14:paraId="223EF319" w14:textId="77777777" w:rsidTr="00826FE0">
        <w:trPr>
          <w:trHeight w:val="312"/>
        </w:trPr>
        <w:tc>
          <w:tcPr>
            <w:tcW w:w="1003" w:type="dxa"/>
            <w:vMerge w:val="restart"/>
            <w:shd w:val="clear" w:color="auto" w:fill="auto"/>
            <w:noWrap/>
            <w:vAlign w:val="center"/>
            <w:hideMark/>
          </w:tcPr>
          <w:p w14:paraId="2DFDB460"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Pre-Institute</w:t>
            </w:r>
          </w:p>
        </w:tc>
        <w:tc>
          <w:tcPr>
            <w:tcW w:w="1067" w:type="dxa"/>
            <w:shd w:val="clear" w:color="auto" w:fill="auto"/>
            <w:noWrap/>
            <w:vAlign w:val="center"/>
            <w:hideMark/>
          </w:tcPr>
          <w:p w14:paraId="78FD819E"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Mode</w:t>
            </w:r>
          </w:p>
        </w:tc>
        <w:tc>
          <w:tcPr>
            <w:tcW w:w="1390" w:type="dxa"/>
            <w:shd w:val="clear" w:color="auto" w:fill="auto"/>
            <w:noWrap/>
            <w:vAlign w:val="bottom"/>
            <w:hideMark/>
          </w:tcPr>
          <w:p w14:paraId="30628AD4"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36" w:type="dxa"/>
            <w:shd w:val="clear" w:color="auto" w:fill="auto"/>
            <w:noWrap/>
            <w:vAlign w:val="bottom"/>
            <w:hideMark/>
          </w:tcPr>
          <w:p w14:paraId="4F74A761" w14:textId="77777777" w:rsidR="001C73A0" w:rsidRPr="001C73A0" w:rsidRDefault="001C73A0" w:rsidP="001C73A0">
            <w:pPr>
              <w:spacing w:after="0" w:line="240" w:lineRule="auto"/>
              <w:jc w:val="center"/>
              <w:rPr>
                <w:rFonts w:eastAsia="Times New Roman"/>
                <w:color w:val="000000"/>
              </w:rPr>
            </w:pPr>
          </w:p>
        </w:tc>
        <w:tc>
          <w:tcPr>
            <w:tcW w:w="1524" w:type="dxa"/>
            <w:shd w:val="clear" w:color="auto" w:fill="auto"/>
            <w:noWrap/>
            <w:vAlign w:val="bottom"/>
            <w:hideMark/>
          </w:tcPr>
          <w:p w14:paraId="49460F33"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c>
          <w:tcPr>
            <w:tcW w:w="270" w:type="dxa"/>
            <w:shd w:val="clear" w:color="auto" w:fill="auto"/>
            <w:noWrap/>
            <w:vAlign w:val="bottom"/>
            <w:hideMark/>
          </w:tcPr>
          <w:p w14:paraId="1FC20500" w14:textId="77777777" w:rsidR="001C73A0" w:rsidRPr="001C73A0" w:rsidRDefault="001C73A0" w:rsidP="001C73A0">
            <w:pPr>
              <w:spacing w:after="0" w:line="240" w:lineRule="auto"/>
              <w:jc w:val="center"/>
              <w:rPr>
                <w:rFonts w:eastAsia="Times New Roman"/>
                <w:color w:val="000000"/>
              </w:rPr>
            </w:pPr>
          </w:p>
        </w:tc>
        <w:tc>
          <w:tcPr>
            <w:tcW w:w="1440" w:type="dxa"/>
            <w:shd w:val="clear" w:color="auto" w:fill="auto"/>
            <w:noWrap/>
            <w:vAlign w:val="bottom"/>
            <w:hideMark/>
          </w:tcPr>
          <w:p w14:paraId="714692EF" w14:textId="171858FF" w:rsidR="001C73A0" w:rsidRPr="001C73A0" w:rsidRDefault="0097402A" w:rsidP="001C73A0">
            <w:pPr>
              <w:spacing w:after="0" w:line="240" w:lineRule="auto"/>
              <w:jc w:val="center"/>
              <w:rPr>
                <w:rFonts w:eastAsia="Times New Roman"/>
                <w:color w:val="000000"/>
              </w:rPr>
            </w:pPr>
            <w:r>
              <w:rPr>
                <w:rFonts w:eastAsia="Times New Roman"/>
                <w:color w:val="000000"/>
              </w:rPr>
              <w:t>2</w:t>
            </w:r>
          </w:p>
        </w:tc>
        <w:tc>
          <w:tcPr>
            <w:tcW w:w="270" w:type="dxa"/>
            <w:shd w:val="clear" w:color="auto" w:fill="auto"/>
            <w:noWrap/>
            <w:vAlign w:val="bottom"/>
            <w:hideMark/>
          </w:tcPr>
          <w:p w14:paraId="3B7FD508" w14:textId="77777777" w:rsidR="001C73A0" w:rsidRPr="001C73A0" w:rsidRDefault="001C73A0" w:rsidP="001C73A0">
            <w:pPr>
              <w:spacing w:after="0" w:line="240" w:lineRule="auto"/>
              <w:jc w:val="center"/>
              <w:rPr>
                <w:rFonts w:eastAsia="Times New Roman"/>
                <w:color w:val="000000"/>
              </w:rPr>
            </w:pPr>
          </w:p>
        </w:tc>
        <w:tc>
          <w:tcPr>
            <w:tcW w:w="1800" w:type="dxa"/>
            <w:shd w:val="clear" w:color="auto" w:fill="auto"/>
            <w:noWrap/>
            <w:vAlign w:val="bottom"/>
            <w:hideMark/>
          </w:tcPr>
          <w:p w14:paraId="321C77A3"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c>
          <w:tcPr>
            <w:tcW w:w="270" w:type="dxa"/>
            <w:shd w:val="clear" w:color="auto" w:fill="auto"/>
            <w:noWrap/>
            <w:vAlign w:val="bottom"/>
            <w:hideMark/>
          </w:tcPr>
          <w:p w14:paraId="092678FE" w14:textId="77777777" w:rsidR="001C73A0" w:rsidRPr="001C73A0" w:rsidRDefault="001C73A0" w:rsidP="001C73A0">
            <w:pPr>
              <w:spacing w:after="0" w:line="240" w:lineRule="auto"/>
              <w:jc w:val="center"/>
              <w:rPr>
                <w:rFonts w:eastAsia="Times New Roman"/>
                <w:color w:val="000000"/>
              </w:rPr>
            </w:pPr>
          </w:p>
        </w:tc>
        <w:tc>
          <w:tcPr>
            <w:tcW w:w="1350" w:type="dxa"/>
            <w:shd w:val="clear" w:color="auto" w:fill="auto"/>
            <w:noWrap/>
            <w:vAlign w:val="bottom"/>
            <w:hideMark/>
          </w:tcPr>
          <w:p w14:paraId="23FC5469"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r>
      <w:tr w:rsidR="001C73A0" w:rsidRPr="001C73A0" w14:paraId="39AE2DC7" w14:textId="77777777" w:rsidTr="00826FE0">
        <w:trPr>
          <w:trHeight w:val="312"/>
        </w:trPr>
        <w:tc>
          <w:tcPr>
            <w:tcW w:w="1003" w:type="dxa"/>
            <w:vMerge/>
            <w:vAlign w:val="center"/>
            <w:hideMark/>
          </w:tcPr>
          <w:p w14:paraId="6400CD56" w14:textId="77777777" w:rsidR="001C73A0" w:rsidRPr="001C73A0" w:rsidRDefault="001C73A0" w:rsidP="001C73A0">
            <w:pPr>
              <w:spacing w:after="0" w:line="240" w:lineRule="auto"/>
              <w:rPr>
                <w:rFonts w:eastAsia="Times New Roman"/>
                <w:color w:val="000000"/>
              </w:rPr>
            </w:pPr>
          </w:p>
        </w:tc>
        <w:tc>
          <w:tcPr>
            <w:tcW w:w="1067" w:type="dxa"/>
            <w:shd w:val="clear" w:color="auto" w:fill="auto"/>
            <w:noWrap/>
            <w:vAlign w:val="center"/>
            <w:hideMark/>
          </w:tcPr>
          <w:p w14:paraId="0DD2527B"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Median</w:t>
            </w:r>
          </w:p>
        </w:tc>
        <w:tc>
          <w:tcPr>
            <w:tcW w:w="1390" w:type="dxa"/>
            <w:shd w:val="clear" w:color="auto" w:fill="auto"/>
            <w:noWrap/>
            <w:vAlign w:val="bottom"/>
            <w:hideMark/>
          </w:tcPr>
          <w:p w14:paraId="58B30449"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36" w:type="dxa"/>
            <w:shd w:val="clear" w:color="auto" w:fill="auto"/>
            <w:noWrap/>
            <w:vAlign w:val="bottom"/>
            <w:hideMark/>
          </w:tcPr>
          <w:p w14:paraId="66B848EC" w14:textId="77777777" w:rsidR="001C73A0" w:rsidRPr="001C73A0" w:rsidRDefault="001C73A0" w:rsidP="001C73A0">
            <w:pPr>
              <w:spacing w:after="0" w:line="240" w:lineRule="auto"/>
              <w:jc w:val="center"/>
              <w:rPr>
                <w:rFonts w:eastAsia="Times New Roman"/>
                <w:color w:val="000000"/>
              </w:rPr>
            </w:pPr>
          </w:p>
        </w:tc>
        <w:tc>
          <w:tcPr>
            <w:tcW w:w="1524" w:type="dxa"/>
            <w:shd w:val="clear" w:color="auto" w:fill="auto"/>
            <w:noWrap/>
            <w:vAlign w:val="bottom"/>
            <w:hideMark/>
          </w:tcPr>
          <w:p w14:paraId="46D26EDC"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c>
          <w:tcPr>
            <w:tcW w:w="270" w:type="dxa"/>
            <w:shd w:val="clear" w:color="auto" w:fill="auto"/>
            <w:noWrap/>
            <w:vAlign w:val="bottom"/>
            <w:hideMark/>
          </w:tcPr>
          <w:p w14:paraId="11F3C1B2" w14:textId="77777777" w:rsidR="001C73A0" w:rsidRPr="001C73A0" w:rsidRDefault="001C73A0" w:rsidP="001C73A0">
            <w:pPr>
              <w:spacing w:after="0" w:line="240" w:lineRule="auto"/>
              <w:jc w:val="center"/>
              <w:rPr>
                <w:rFonts w:eastAsia="Times New Roman"/>
                <w:color w:val="000000"/>
              </w:rPr>
            </w:pPr>
          </w:p>
        </w:tc>
        <w:tc>
          <w:tcPr>
            <w:tcW w:w="1440" w:type="dxa"/>
            <w:shd w:val="clear" w:color="auto" w:fill="auto"/>
            <w:noWrap/>
            <w:vAlign w:val="bottom"/>
            <w:hideMark/>
          </w:tcPr>
          <w:p w14:paraId="4F5A7FFD" w14:textId="51DC5C1D" w:rsidR="001C73A0" w:rsidRPr="001C73A0" w:rsidRDefault="0097402A" w:rsidP="001C73A0">
            <w:pPr>
              <w:spacing w:after="0" w:line="240" w:lineRule="auto"/>
              <w:jc w:val="center"/>
              <w:rPr>
                <w:rFonts w:eastAsia="Times New Roman"/>
                <w:color w:val="000000"/>
              </w:rPr>
            </w:pPr>
            <w:r>
              <w:rPr>
                <w:rFonts w:eastAsia="Times New Roman"/>
                <w:color w:val="000000"/>
              </w:rPr>
              <w:t>2</w:t>
            </w:r>
          </w:p>
        </w:tc>
        <w:tc>
          <w:tcPr>
            <w:tcW w:w="270" w:type="dxa"/>
            <w:shd w:val="clear" w:color="auto" w:fill="auto"/>
            <w:noWrap/>
            <w:vAlign w:val="bottom"/>
            <w:hideMark/>
          </w:tcPr>
          <w:p w14:paraId="5DECDAD6" w14:textId="77777777" w:rsidR="001C73A0" w:rsidRPr="001C73A0" w:rsidRDefault="001C73A0" w:rsidP="001C73A0">
            <w:pPr>
              <w:spacing w:after="0" w:line="240" w:lineRule="auto"/>
              <w:jc w:val="center"/>
              <w:rPr>
                <w:rFonts w:eastAsia="Times New Roman"/>
                <w:color w:val="000000"/>
              </w:rPr>
            </w:pPr>
          </w:p>
        </w:tc>
        <w:tc>
          <w:tcPr>
            <w:tcW w:w="1800" w:type="dxa"/>
            <w:shd w:val="clear" w:color="auto" w:fill="auto"/>
            <w:noWrap/>
            <w:vAlign w:val="bottom"/>
            <w:hideMark/>
          </w:tcPr>
          <w:p w14:paraId="629419FC"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c>
          <w:tcPr>
            <w:tcW w:w="270" w:type="dxa"/>
            <w:shd w:val="clear" w:color="auto" w:fill="auto"/>
            <w:noWrap/>
            <w:vAlign w:val="bottom"/>
            <w:hideMark/>
          </w:tcPr>
          <w:p w14:paraId="66B5B502" w14:textId="77777777" w:rsidR="001C73A0" w:rsidRPr="001C73A0" w:rsidRDefault="001C73A0" w:rsidP="001C73A0">
            <w:pPr>
              <w:spacing w:after="0" w:line="240" w:lineRule="auto"/>
              <w:jc w:val="center"/>
              <w:rPr>
                <w:rFonts w:eastAsia="Times New Roman"/>
                <w:color w:val="000000"/>
              </w:rPr>
            </w:pPr>
          </w:p>
        </w:tc>
        <w:tc>
          <w:tcPr>
            <w:tcW w:w="1350" w:type="dxa"/>
            <w:shd w:val="clear" w:color="auto" w:fill="auto"/>
            <w:noWrap/>
            <w:vAlign w:val="bottom"/>
            <w:hideMark/>
          </w:tcPr>
          <w:p w14:paraId="63EDED1C"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2</w:t>
            </w:r>
          </w:p>
        </w:tc>
      </w:tr>
      <w:tr w:rsidR="001C73A0" w:rsidRPr="001C73A0" w14:paraId="13B28DCD" w14:textId="77777777" w:rsidTr="00826FE0">
        <w:trPr>
          <w:trHeight w:val="312"/>
        </w:trPr>
        <w:tc>
          <w:tcPr>
            <w:tcW w:w="1003" w:type="dxa"/>
            <w:shd w:val="clear" w:color="auto" w:fill="auto"/>
            <w:noWrap/>
            <w:vAlign w:val="bottom"/>
            <w:hideMark/>
          </w:tcPr>
          <w:p w14:paraId="6A1F06A1" w14:textId="77777777" w:rsidR="001C73A0" w:rsidRPr="001C73A0" w:rsidRDefault="001C73A0" w:rsidP="001C73A0">
            <w:pPr>
              <w:spacing w:after="0" w:line="240" w:lineRule="auto"/>
              <w:jc w:val="center"/>
              <w:rPr>
                <w:rFonts w:eastAsia="Times New Roman"/>
                <w:color w:val="000000"/>
              </w:rPr>
            </w:pPr>
          </w:p>
        </w:tc>
        <w:tc>
          <w:tcPr>
            <w:tcW w:w="1067" w:type="dxa"/>
            <w:shd w:val="clear" w:color="auto" w:fill="auto"/>
            <w:noWrap/>
            <w:vAlign w:val="bottom"/>
            <w:hideMark/>
          </w:tcPr>
          <w:p w14:paraId="434E3870" w14:textId="77777777" w:rsidR="001C73A0" w:rsidRPr="001C73A0" w:rsidRDefault="001C73A0" w:rsidP="001C73A0">
            <w:pPr>
              <w:spacing w:after="0" w:line="240" w:lineRule="auto"/>
              <w:rPr>
                <w:rFonts w:eastAsia="Times New Roman"/>
                <w:sz w:val="20"/>
                <w:szCs w:val="20"/>
              </w:rPr>
            </w:pPr>
          </w:p>
        </w:tc>
        <w:tc>
          <w:tcPr>
            <w:tcW w:w="1390" w:type="dxa"/>
            <w:shd w:val="clear" w:color="auto" w:fill="auto"/>
            <w:noWrap/>
            <w:vAlign w:val="bottom"/>
            <w:hideMark/>
          </w:tcPr>
          <w:p w14:paraId="2AD7F462" w14:textId="77777777" w:rsidR="001C73A0" w:rsidRPr="001C73A0" w:rsidRDefault="001C73A0" w:rsidP="001C73A0">
            <w:pPr>
              <w:spacing w:after="0" w:line="240" w:lineRule="auto"/>
              <w:rPr>
                <w:rFonts w:eastAsia="Times New Roman"/>
                <w:sz w:val="20"/>
                <w:szCs w:val="20"/>
              </w:rPr>
            </w:pPr>
          </w:p>
        </w:tc>
        <w:tc>
          <w:tcPr>
            <w:tcW w:w="236" w:type="dxa"/>
            <w:shd w:val="clear" w:color="auto" w:fill="auto"/>
            <w:noWrap/>
            <w:vAlign w:val="bottom"/>
            <w:hideMark/>
          </w:tcPr>
          <w:p w14:paraId="39C72952" w14:textId="77777777" w:rsidR="001C73A0" w:rsidRPr="001C73A0" w:rsidRDefault="001C73A0" w:rsidP="001C73A0">
            <w:pPr>
              <w:spacing w:after="0" w:line="240" w:lineRule="auto"/>
              <w:jc w:val="center"/>
              <w:rPr>
                <w:rFonts w:eastAsia="Times New Roman"/>
                <w:sz w:val="20"/>
                <w:szCs w:val="20"/>
              </w:rPr>
            </w:pPr>
          </w:p>
        </w:tc>
        <w:tc>
          <w:tcPr>
            <w:tcW w:w="1524" w:type="dxa"/>
            <w:shd w:val="clear" w:color="auto" w:fill="auto"/>
            <w:noWrap/>
            <w:vAlign w:val="bottom"/>
            <w:hideMark/>
          </w:tcPr>
          <w:p w14:paraId="288900D6" w14:textId="77777777" w:rsidR="001C73A0" w:rsidRPr="001C73A0" w:rsidRDefault="001C73A0" w:rsidP="001C73A0">
            <w:pPr>
              <w:spacing w:after="0" w:line="240" w:lineRule="auto"/>
              <w:jc w:val="center"/>
              <w:rPr>
                <w:rFonts w:eastAsia="Times New Roman"/>
                <w:sz w:val="20"/>
                <w:szCs w:val="20"/>
              </w:rPr>
            </w:pPr>
          </w:p>
        </w:tc>
        <w:tc>
          <w:tcPr>
            <w:tcW w:w="270" w:type="dxa"/>
            <w:shd w:val="clear" w:color="auto" w:fill="auto"/>
            <w:noWrap/>
            <w:vAlign w:val="bottom"/>
            <w:hideMark/>
          </w:tcPr>
          <w:p w14:paraId="2AF1E79D" w14:textId="77777777" w:rsidR="001C73A0" w:rsidRPr="001C73A0" w:rsidRDefault="001C73A0" w:rsidP="001C73A0">
            <w:pPr>
              <w:spacing w:after="0" w:line="240" w:lineRule="auto"/>
              <w:jc w:val="center"/>
              <w:rPr>
                <w:rFonts w:eastAsia="Times New Roman"/>
                <w:sz w:val="20"/>
                <w:szCs w:val="20"/>
              </w:rPr>
            </w:pPr>
          </w:p>
        </w:tc>
        <w:tc>
          <w:tcPr>
            <w:tcW w:w="1440" w:type="dxa"/>
            <w:shd w:val="clear" w:color="auto" w:fill="auto"/>
            <w:noWrap/>
            <w:vAlign w:val="bottom"/>
            <w:hideMark/>
          </w:tcPr>
          <w:p w14:paraId="1D4F2BA8" w14:textId="77777777" w:rsidR="001C73A0" w:rsidRPr="001C73A0" w:rsidRDefault="001C73A0" w:rsidP="001C73A0">
            <w:pPr>
              <w:spacing w:after="0" w:line="240" w:lineRule="auto"/>
              <w:jc w:val="center"/>
              <w:rPr>
                <w:rFonts w:eastAsia="Times New Roman"/>
                <w:sz w:val="20"/>
                <w:szCs w:val="20"/>
              </w:rPr>
            </w:pPr>
          </w:p>
        </w:tc>
        <w:tc>
          <w:tcPr>
            <w:tcW w:w="270" w:type="dxa"/>
            <w:shd w:val="clear" w:color="auto" w:fill="auto"/>
            <w:noWrap/>
            <w:vAlign w:val="bottom"/>
            <w:hideMark/>
          </w:tcPr>
          <w:p w14:paraId="014A99A9" w14:textId="77777777" w:rsidR="001C73A0" w:rsidRPr="001C73A0" w:rsidRDefault="001C73A0" w:rsidP="001C73A0">
            <w:pPr>
              <w:spacing w:after="0" w:line="240" w:lineRule="auto"/>
              <w:jc w:val="center"/>
              <w:rPr>
                <w:rFonts w:eastAsia="Times New Roman"/>
                <w:sz w:val="20"/>
                <w:szCs w:val="20"/>
              </w:rPr>
            </w:pPr>
          </w:p>
        </w:tc>
        <w:tc>
          <w:tcPr>
            <w:tcW w:w="1800" w:type="dxa"/>
            <w:shd w:val="clear" w:color="auto" w:fill="auto"/>
            <w:noWrap/>
            <w:vAlign w:val="bottom"/>
            <w:hideMark/>
          </w:tcPr>
          <w:p w14:paraId="25F5A2C4" w14:textId="77777777" w:rsidR="001C73A0" w:rsidRPr="001C73A0" w:rsidRDefault="001C73A0" w:rsidP="001C73A0">
            <w:pPr>
              <w:spacing w:after="0" w:line="240" w:lineRule="auto"/>
              <w:jc w:val="center"/>
              <w:rPr>
                <w:rFonts w:eastAsia="Times New Roman"/>
                <w:sz w:val="20"/>
                <w:szCs w:val="20"/>
              </w:rPr>
            </w:pPr>
          </w:p>
        </w:tc>
        <w:tc>
          <w:tcPr>
            <w:tcW w:w="270" w:type="dxa"/>
            <w:shd w:val="clear" w:color="auto" w:fill="auto"/>
            <w:noWrap/>
            <w:vAlign w:val="bottom"/>
            <w:hideMark/>
          </w:tcPr>
          <w:p w14:paraId="5B71FFC9" w14:textId="77777777" w:rsidR="001C73A0" w:rsidRPr="001C73A0" w:rsidRDefault="001C73A0" w:rsidP="001C73A0">
            <w:pPr>
              <w:spacing w:after="0" w:line="240" w:lineRule="auto"/>
              <w:jc w:val="center"/>
              <w:rPr>
                <w:rFonts w:eastAsia="Times New Roman"/>
                <w:sz w:val="20"/>
                <w:szCs w:val="20"/>
              </w:rPr>
            </w:pPr>
          </w:p>
        </w:tc>
        <w:tc>
          <w:tcPr>
            <w:tcW w:w="1350" w:type="dxa"/>
            <w:shd w:val="clear" w:color="auto" w:fill="auto"/>
            <w:noWrap/>
            <w:vAlign w:val="bottom"/>
            <w:hideMark/>
          </w:tcPr>
          <w:p w14:paraId="3F6EAB68" w14:textId="77777777" w:rsidR="001C73A0" w:rsidRPr="001C73A0" w:rsidRDefault="001C73A0" w:rsidP="001C73A0">
            <w:pPr>
              <w:spacing w:after="0" w:line="240" w:lineRule="auto"/>
              <w:jc w:val="center"/>
              <w:rPr>
                <w:rFonts w:eastAsia="Times New Roman"/>
                <w:sz w:val="20"/>
                <w:szCs w:val="20"/>
              </w:rPr>
            </w:pPr>
          </w:p>
        </w:tc>
      </w:tr>
      <w:tr w:rsidR="001C73A0" w:rsidRPr="001C73A0" w14:paraId="1C58BB06" w14:textId="77777777" w:rsidTr="00826FE0">
        <w:trPr>
          <w:trHeight w:val="312"/>
        </w:trPr>
        <w:tc>
          <w:tcPr>
            <w:tcW w:w="1003" w:type="dxa"/>
            <w:vMerge w:val="restart"/>
            <w:shd w:val="clear" w:color="auto" w:fill="auto"/>
            <w:noWrap/>
            <w:vAlign w:val="center"/>
            <w:hideMark/>
          </w:tcPr>
          <w:p w14:paraId="43F69CDB"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Post-Institute</w:t>
            </w:r>
          </w:p>
        </w:tc>
        <w:tc>
          <w:tcPr>
            <w:tcW w:w="1067" w:type="dxa"/>
            <w:shd w:val="clear" w:color="auto" w:fill="auto"/>
            <w:noWrap/>
            <w:vAlign w:val="bottom"/>
            <w:hideMark/>
          </w:tcPr>
          <w:p w14:paraId="66EC5DEA"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Mode</w:t>
            </w:r>
          </w:p>
        </w:tc>
        <w:tc>
          <w:tcPr>
            <w:tcW w:w="1390" w:type="dxa"/>
            <w:shd w:val="clear" w:color="auto" w:fill="auto"/>
            <w:noWrap/>
            <w:vAlign w:val="bottom"/>
            <w:hideMark/>
          </w:tcPr>
          <w:p w14:paraId="14DBCA7A"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36" w:type="dxa"/>
            <w:shd w:val="clear" w:color="auto" w:fill="auto"/>
            <w:noWrap/>
            <w:vAlign w:val="bottom"/>
            <w:hideMark/>
          </w:tcPr>
          <w:p w14:paraId="4EF37672" w14:textId="77777777" w:rsidR="001C73A0" w:rsidRPr="001C73A0" w:rsidRDefault="001C73A0" w:rsidP="001C73A0">
            <w:pPr>
              <w:spacing w:after="0" w:line="240" w:lineRule="auto"/>
              <w:jc w:val="center"/>
              <w:rPr>
                <w:rFonts w:eastAsia="Times New Roman"/>
                <w:color w:val="000000"/>
              </w:rPr>
            </w:pPr>
          </w:p>
        </w:tc>
        <w:tc>
          <w:tcPr>
            <w:tcW w:w="1524" w:type="dxa"/>
            <w:shd w:val="clear" w:color="auto" w:fill="auto"/>
            <w:noWrap/>
            <w:vAlign w:val="bottom"/>
            <w:hideMark/>
          </w:tcPr>
          <w:p w14:paraId="6D13E23B"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70" w:type="dxa"/>
            <w:shd w:val="clear" w:color="auto" w:fill="auto"/>
            <w:noWrap/>
            <w:vAlign w:val="bottom"/>
            <w:hideMark/>
          </w:tcPr>
          <w:p w14:paraId="2EDAE413" w14:textId="77777777" w:rsidR="001C73A0" w:rsidRPr="001C73A0" w:rsidRDefault="001C73A0" w:rsidP="001C73A0">
            <w:pPr>
              <w:spacing w:after="0" w:line="240" w:lineRule="auto"/>
              <w:jc w:val="center"/>
              <w:rPr>
                <w:rFonts w:eastAsia="Times New Roman"/>
                <w:color w:val="000000"/>
              </w:rPr>
            </w:pPr>
          </w:p>
        </w:tc>
        <w:tc>
          <w:tcPr>
            <w:tcW w:w="1440" w:type="dxa"/>
            <w:shd w:val="clear" w:color="auto" w:fill="auto"/>
            <w:noWrap/>
            <w:vAlign w:val="bottom"/>
            <w:hideMark/>
          </w:tcPr>
          <w:p w14:paraId="1E6C8372"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70" w:type="dxa"/>
            <w:shd w:val="clear" w:color="auto" w:fill="auto"/>
            <w:noWrap/>
            <w:vAlign w:val="bottom"/>
            <w:hideMark/>
          </w:tcPr>
          <w:p w14:paraId="43FB7E63" w14:textId="77777777" w:rsidR="001C73A0" w:rsidRPr="001C73A0" w:rsidRDefault="001C73A0" w:rsidP="001C73A0">
            <w:pPr>
              <w:spacing w:after="0" w:line="240" w:lineRule="auto"/>
              <w:jc w:val="center"/>
              <w:rPr>
                <w:rFonts w:eastAsia="Times New Roman"/>
                <w:color w:val="000000"/>
              </w:rPr>
            </w:pPr>
          </w:p>
        </w:tc>
        <w:tc>
          <w:tcPr>
            <w:tcW w:w="1800" w:type="dxa"/>
            <w:shd w:val="clear" w:color="auto" w:fill="auto"/>
            <w:noWrap/>
            <w:vAlign w:val="bottom"/>
            <w:hideMark/>
          </w:tcPr>
          <w:p w14:paraId="222C6ADE" w14:textId="1BAA6D07" w:rsidR="001C73A0" w:rsidRPr="001C73A0" w:rsidRDefault="0097402A" w:rsidP="001C73A0">
            <w:pPr>
              <w:spacing w:after="0" w:line="240" w:lineRule="auto"/>
              <w:jc w:val="center"/>
              <w:rPr>
                <w:rFonts w:eastAsia="Times New Roman"/>
                <w:color w:val="000000"/>
              </w:rPr>
            </w:pPr>
            <w:r>
              <w:rPr>
                <w:rFonts w:eastAsia="Times New Roman"/>
                <w:color w:val="000000"/>
              </w:rPr>
              <w:t>3</w:t>
            </w:r>
          </w:p>
        </w:tc>
        <w:tc>
          <w:tcPr>
            <w:tcW w:w="270" w:type="dxa"/>
            <w:shd w:val="clear" w:color="auto" w:fill="auto"/>
            <w:noWrap/>
            <w:vAlign w:val="bottom"/>
            <w:hideMark/>
          </w:tcPr>
          <w:p w14:paraId="1D0C8464" w14:textId="77777777" w:rsidR="001C73A0" w:rsidRPr="001C73A0" w:rsidRDefault="001C73A0" w:rsidP="001C73A0">
            <w:pPr>
              <w:spacing w:after="0" w:line="240" w:lineRule="auto"/>
              <w:jc w:val="center"/>
              <w:rPr>
                <w:rFonts w:eastAsia="Times New Roman"/>
                <w:color w:val="000000"/>
              </w:rPr>
            </w:pPr>
          </w:p>
        </w:tc>
        <w:tc>
          <w:tcPr>
            <w:tcW w:w="1350" w:type="dxa"/>
            <w:shd w:val="clear" w:color="auto" w:fill="auto"/>
            <w:noWrap/>
            <w:vAlign w:val="bottom"/>
            <w:hideMark/>
          </w:tcPr>
          <w:p w14:paraId="043FBD95"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r>
      <w:tr w:rsidR="001C73A0" w:rsidRPr="001C73A0" w14:paraId="229EC668" w14:textId="77777777" w:rsidTr="00826FE0">
        <w:trPr>
          <w:trHeight w:val="312"/>
        </w:trPr>
        <w:tc>
          <w:tcPr>
            <w:tcW w:w="1003" w:type="dxa"/>
            <w:vMerge/>
            <w:vAlign w:val="center"/>
            <w:hideMark/>
          </w:tcPr>
          <w:p w14:paraId="130B8A02" w14:textId="77777777" w:rsidR="001C73A0" w:rsidRPr="001C73A0" w:rsidRDefault="001C73A0" w:rsidP="001C73A0">
            <w:pPr>
              <w:spacing w:after="0" w:line="240" w:lineRule="auto"/>
              <w:rPr>
                <w:rFonts w:eastAsia="Times New Roman"/>
                <w:color w:val="000000"/>
              </w:rPr>
            </w:pPr>
          </w:p>
        </w:tc>
        <w:tc>
          <w:tcPr>
            <w:tcW w:w="1067" w:type="dxa"/>
            <w:shd w:val="clear" w:color="auto" w:fill="auto"/>
            <w:noWrap/>
            <w:vAlign w:val="bottom"/>
            <w:hideMark/>
          </w:tcPr>
          <w:p w14:paraId="3CBA2460"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Median</w:t>
            </w:r>
          </w:p>
        </w:tc>
        <w:tc>
          <w:tcPr>
            <w:tcW w:w="1390" w:type="dxa"/>
            <w:shd w:val="clear" w:color="auto" w:fill="auto"/>
            <w:noWrap/>
            <w:vAlign w:val="bottom"/>
            <w:hideMark/>
          </w:tcPr>
          <w:p w14:paraId="4C1252D0"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36" w:type="dxa"/>
            <w:shd w:val="clear" w:color="auto" w:fill="auto"/>
            <w:noWrap/>
            <w:vAlign w:val="bottom"/>
            <w:hideMark/>
          </w:tcPr>
          <w:p w14:paraId="75FFCA87" w14:textId="77777777" w:rsidR="001C73A0" w:rsidRPr="001C73A0" w:rsidRDefault="001C73A0" w:rsidP="001C73A0">
            <w:pPr>
              <w:spacing w:after="0" w:line="240" w:lineRule="auto"/>
              <w:jc w:val="center"/>
              <w:rPr>
                <w:rFonts w:eastAsia="Times New Roman"/>
                <w:color w:val="000000"/>
              </w:rPr>
            </w:pPr>
          </w:p>
        </w:tc>
        <w:tc>
          <w:tcPr>
            <w:tcW w:w="1524" w:type="dxa"/>
            <w:shd w:val="clear" w:color="auto" w:fill="auto"/>
            <w:noWrap/>
            <w:vAlign w:val="bottom"/>
            <w:hideMark/>
          </w:tcPr>
          <w:p w14:paraId="71099C7E"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70" w:type="dxa"/>
            <w:shd w:val="clear" w:color="auto" w:fill="auto"/>
            <w:noWrap/>
            <w:vAlign w:val="bottom"/>
            <w:hideMark/>
          </w:tcPr>
          <w:p w14:paraId="18C58CEE" w14:textId="77777777" w:rsidR="001C73A0" w:rsidRPr="001C73A0" w:rsidRDefault="001C73A0" w:rsidP="001C73A0">
            <w:pPr>
              <w:spacing w:after="0" w:line="240" w:lineRule="auto"/>
              <w:jc w:val="center"/>
              <w:rPr>
                <w:rFonts w:eastAsia="Times New Roman"/>
                <w:color w:val="000000"/>
              </w:rPr>
            </w:pPr>
          </w:p>
        </w:tc>
        <w:tc>
          <w:tcPr>
            <w:tcW w:w="1440" w:type="dxa"/>
            <w:shd w:val="clear" w:color="auto" w:fill="auto"/>
            <w:noWrap/>
            <w:vAlign w:val="bottom"/>
            <w:hideMark/>
          </w:tcPr>
          <w:p w14:paraId="6DBC4360" w14:textId="77777777" w:rsidR="001C73A0" w:rsidRPr="001C73A0" w:rsidRDefault="001C73A0" w:rsidP="001C73A0">
            <w:pPr>
              <w:spacing w:after="0" w:line="240" w:lineRule="auto"/>
              <w:jc w:val="center"/>
              <w:rPr>
                <w:rFonts w:eastAsia="Times New Roman"/>
                <w:color w:val="000000"/>
              </w:rPr>
            </w:pPr>
            <w:r w:rsidRPr="001C73A0">
              <w:rPr>
                <w:rFonts w:eastAsia="Times New Roman"/>
                <w:color w:val="000000"/>
              </w:rPr>
              <w:t>3</w:t>
            </w:r>
          </w:p>
        </w:tc>
        <w:tc>
          <w:tcPr>
            <w:tcW w:w="270" w:type="dxa"/>
            <w:shd w:val="clear" w:color="auto" w:fill="auto"/>
            <w:noWrap/>
            <w:vAlign w:val="bottom"/>
            <w:hideMark/>
          </w:tcPr>
          <w:p w14:paraId="6A71AD90" w14:textId="77777777" w:rsidR="001C73A0" w:rsidRPr="001C73A0" w:rsidRDefault="001C73A0" w:rsidP="001C73A0">
            <w:pPr>
              <w:spacing w:after="0" w:line="240" w:lineRule="auto"/>
              <w:jc w:val="center"/>
              <w:rPr>
                <w:rFonts w:eastAsia="Times New Roman"/>
                <w:color w:val="000000"/>
              </w:rPr>
            </w:pPr>
          </w:p>
        </w:tc>
        <w:tc>
          <w:tcPr>
            <w:tcW w:w="1800" w:type="dxa"/>
            <w:shd w:val="clear" w:color="auto" w:fill="auto"/>
            <w:noWrap/>
            <w:vAlign w:val="bottom"/>
            <w:hideMark/>
          </w:tcPr>
          <w:p w14:paraId="261C5889" w14:textId="58D79AD9" w:rsidR="001C73A0" w:rsidRPr="001C73A0" w:rsidRDefault="0097402A" w:rsidP="001C73A0">
            <w:pPr>
              <w:spacing w:after="0" w:line="240" w:lineRule="auto"/>
              <w:jc w:val="center"/>
              <w:rPr>
                <w:rFonts w:eastAsia="Times New Roman"/>
                <w:color w:val="000000"/>
              </w:rPr>
            </w:pPr>
            <w:r>
              <w:rPr>
                <w:rFonts w:eastAsia="Times New Roman"/>
                <w:color w:val="000000"/>
              </w:rPr>
              <w:t>3</w:t>
            </w:r>
          </w:p>
        </w:tc>
        <w:tc>
          <w:tcPr>
            <w:tcW w:w="270" w:type="dxa"/>
            <w:shd w:val="clear" w:color="auto" w:fill="auto"/>
            <w:noWrap/>
            <w:vAlign w:val="bottom"/>
            <w:hideMark/>
          </w:tcPr>
          <w:p w14:paraId="287D56D7" w14:textId="77777777" w:rsidR="001C73A0" w:rsidRPr="001C73A0" w:rsidRDefault="001C73A0" w:rsidP="001C73A0">
            <w:pPr>
              <w:spacing w:after="0" w:line="240" w:lineRule="auto"/>
              <w:jc w:val="center"/>
              <w:rPr>
                <w:rFonts w:eastAsia="Times New Roman"/>
                <w:color w:val="000000"/>
              </w:rPr>
            </w:pPr>
          </w:p>
        </w:tc>
        <w:tc>
          <w:tcPr>
            <w:tcW w:w="1350" w:type="dxa"/>
            <w:shd w:val="clear" w:color="auto" w:fill="auto"/>
            <w:noWrap/>
            <w:vAlign w:val="bottom"/>
            <w:hideMark/>
          </w:tcPr>
          <w:p w14:paraId="6B792C20" w14:textId="37E5FB1F" w:rsidR="001C73A0" w:rsidRPr="001C73A0" w:rsidRDefault="00F45BE0" w:rsidP="001C73A0">
            <w:pPr>
              <w:spacing w:after="0" w:line="240" w:lineRule="auto"/>
              <w:jc w:val="center"/>
              <w:rPr>
                <w:rFonts w:eastAsia="Times New Roman"/>
                <w:color w:val="000000"/>
              </w:rPr>
            </w:pPr>
            <w:r>
              <w:rPr>
                <w:rFonts w:eastAsia="Times New Roman"/>
                <w:color w:val="000000"/>
              </w:rPr>
              <w:t>3</w:t>
            </w:r>
          </w:p>
        </w:tc>
      </w:tr>
    </w:tbl>
    <w:p w14:paraId="69EC74B1" w14:textId="77777777" w:rsidR="0097402A" w:rsidRDefault="0097402A" w:rsidP="004D33DC"/>
    <w:p w14:paraId="46FD4848" w14:textId="4596BB80" w:rsidR="004D33DC" w:rsidRDefault="0035394E" w:rsidP="004D33DC">
      <w:r>
        <w:rPr>
          <w:i/>
          <w:color w:val="0000FF"/>
        </w:rPr>
        <w:lastRenderedPageBreak/>
        <w:t>Assessment</w:t>
      </w:r>
    </w:p>
    <w:p w14:paraId="67E128BB" w14:textId="78069D66" w:rsidR="004D33DC" w:rsidRDefault="0035394E" w:rsidP="004D33DC">
      <w:r>
        <w:t>T</w:t>
      </w:r>
      <w:r w:rsidR="004D33DC">
        <w:t xml:space="preserve">he ratings for teachers’ performance on the five </w:t>
      </w:r>
      <w:r w:rsidR="007748FA">
        <w:t>indicators</w:t>
      </w:r>
      <w:r w:rsidR="004D33DC">
        <w:t xml:space="preserve"> measured under the Assessment factor</w:t>
      </w:r>
      <w:r>
        <w:t xml:space="preserve"> are shown in Table </w:t>
      </w:r>
      <w:r w:rsidR="00E85C7D">
        <w:t>3</w:t>
      </w:r>
      <w:r w:rsidR="004D33DC">
        <w:t xml:space="preserve">. </w:t>
      </w:r>
      <w:r w:rsidR="00AB384D">
        <w:t xml:space="preserve">Teachers showed increases </w:t>
      </w:r>
      <w:r w:rsidR="00F3074C">
        <w:t>on all indicators on the post observations indicating that they used assessment to</w:t>
      </w:r>
      <w:r w:rsidR="00AB384D">
        <w:t xml:space="preserve"> en</w:t>
      </w:r>
      <w:r w:rsidR="00F3074C">
        <w:t>hance critical thinking by encouraging</w:t>
      </w:r>
      <w:r w:rsidR="00AB384D">
        <w:t xml:space="preserve"> students to reflect on their learning at an understanding or authentic level.</w:t>
      </w:r>
      <w:r w:rsidR="00F3074C">
        <w:t xml:space="preserve"> During post-observations teachers also </w:t>
      </w:r>
      <w:r w:rsidR="00E63F88">
        <w:t>solicit</w:t>
      </w:r>
      <w:r w:rsidR="00F3074C">
        <w:t>ed</w:t>
      </w:r>
      <w:r w:rsidR="00E63F88">
        <w:t xml:space="preserve"> information to assess student understanding and took the next step</w:t>
      </w:r>
      <w:r w:rsidR="00F3074C">
        <w:t>s</w:t>
      </w:r>
      <w:r w:rsidR="00E63F88">
        <w:t xml:space="preserve"> of using that information to adjust the instruction.  </w:t>
      </w:r>
    </w:p>
    <w:p w14:paraId="3E954071" w14:textId="3F40E1A7" w:rsidR="00110AFA" w:rsidRDefault="004D33DC">
      <w:r>
        <w:t xml:space="preserve">Across all teachers’ ratings for </w:t>
      </w:r>
      <w:r w:rsidR="007748FA">
        <w:t xml:space="preserve">the </w:t>
      </w:r>
      <w:r>
        <w:t xml:space="preserve">Assessment </w:t>
      </w:r>
      <w:r w:rsidR="007748FA">
        <w:t>factor</w:t>
      </w:r>
      <w:r>
        <w:t xml:space="preserve">, Pre-Inquiry was selected </w:t>
      </w:r>
      <w:r w:rsidR="00F3074C">
        <w:t>13</w:t>
      </w:r>
      <w:r>
        <w:t xml:space="preserve"> times, </w:t>
      </w:r>
      <w:r w:rsidR="00E63F88">
        <w:t xml:space="preserve">but four of those </w:t>
      </w:r>
      <w:r>
        <w:t>occurring exclusively for</w:t>
      </w:r>
      <w:r w:rsidR="00E63F88">
        <w:t xml:space="preserve"> one </w:t>
      </w:r>
      <w:r>
        <w:t>teacher</w:t>
      </w:r>
      <w:r w:rsidR="00E63F88">
        <w:t xml:space="preserve"> (the same observation discussed in the Discourse section above</w:t>
      </w:r>
      <w:r w:rsidR="00826FE0">
        <w:t>)</w:t>
      </w:r>
      <w:r w:rsidR="00E63F88">
        <w:t xml:space="preserve">. </w:t>
      </w:r>
      <w:r>
        <w:t xml:space="preserve">The Exemplary Inquiry rating was selected </w:t>
      </w:r>
      <w:r w:rsidR="00F3074C">
        <w:t>17</w:t>
      </w:r>
      <w:r w:rsidR="00E63F88">
        <w:t xml:space="preserve"> times </w:t>
      </w:r>
      <w:r w:rsidR="00F3074C">
        <w:t>on the post-observation</w:t>
      </w:r>
      <w:r w:rsidR="00E63F88">
        <w:t xml:space="preserve"> compared to only </w:t>
      </w:r>
      <w:r w:rsidR="00F3074C">
        <w:t>3 times</w:t>
      </w:r>
      <w:r w:rsidR="00E63F88">
        <w:t xml:space="preserve"> pre-Institute</w:t>
      </w:r>
      <w:r w:rsidR="00F3074C">
        <w:t>. One</w:t>
      </w:r>
      <w:r w:rsidR="00E63F88">
        <w:t xml:space="preserve"> teacher receiv</w:t>
      </w:r>
      <w:r w:rsidR="006B69D2">
        <w:t>ed</w:t>
      </w:r>
      <w:r w:rsidR="00E63F88">
        <w:t xml:space="preserve"> Exemplary rating on all five factors.</w:t>
      </w:r>
      <w:r>
        <w:t xml:space="preserve"> </w:t>
      </w:r>
    </w:p>
    <w:p w14:paraId="2D6ADD39" w14:textId="5B53D9B8" w:rsidR="004D33DC" w:rsidRPr="00F3074C" w:rsidRDefault="004D33DC" w:rsidP="004D33DC">
      <w:pPr>
        <w:rPr>
          <w:i/>
          <w:color w:val="0000FF"/>
        </w:rPr>
      </w:pPr>
      <w:r w:rsidRPr="00F3074C">
        <w:rPr>
          <w:i/>
          <w:color w:val="0000FF"/>
        </w:rPr>
        <w:t>Table</w:t>
      </w:r>
      <w:r w:rsidR="00232067" w:rsidRPr="00F3074C">
        <w:rPr>
          <w:i/>
          <w:color w:val="0000FF"/>
        </w:rPr>
        <w:t xml:space="preserve"> </w:t>
      </w:r>
      <w:r w:rsidR="00E85C7D">
        <w:rPr>
          <w:i/>
          <w:color w:val="0000FF"/>
        </w:rPr>
        <w:t>3</w:t>
      </w:r>
      <w:r w:rsidR="006F3DE5" w:rsidRPr="00F3074C">
        <w:rPr>
          <w:i/>
          <w:color w:val="0000FF"/>
        </w:rPr>
        <w:t xml:space="preserve">. </w:t>
      </w:r>
      <w:r w:rsidR="00AB384D" w:rsidRPr="00F3074C">
        <w:rPr>
          <w:i/>
          <w:color w:val="0000FF"/>
        </w:rPr>
        <w:t>Comparison of Cohort 1 observations scores for Assessment Factors</w:t>
      </w:r>
    </w:p>
    <w:tbl>
      <w:tblPr>
        <w:tblW w:w="10300" w:type="dxa"/>
        <w:tblBorders>
          <w:insideH w:val="single" w:sz="4" w:space="0" w:color="auto"/>
          <w:insideV w:val="single" w:sz="4" w:space="0" w:color="auto"/>
        </w:tblBorders>
        <w:tblLook w:val="04A0" w:firstRow="1" w:lastRow="0" w:firstColumn="1" w:lastColumn="0" w:noHBand="0" w:noVBand="1"/>
      </w:tblPr>
      <w:tblGrid>
        <w:gridCol w:w="1400"/>
        <w:gridCol w:w="1300"/>
        <w:gridCol w:w="1480"/>
        <w:gridCol w:w="222"/>
        <w:gridCol w:w="1509"/>
        <w:gridCol w:w="222"/>
        <w:gridCol w:w="1260"/>
        <w:gridCol w:w="222"/>
        <w:gridCol w:w="1350"/>
        <w:gridCol w:w="222"/>
        <w:gridCol w:w="1320"/>
      </w:tblGrid>
      <w:tr w:rsidR="00AB384D" w:rsidRPr="00AB384D" w14:paraId="375A3C31" w14:textId="77777777" w:rsidTr="00517320">
        <w:trPr>
          <w:trHeight w:val="624"/>
        </w:trPr>
        <w:tc>
          <w:tcPr>
            <w:tcW w:w="1400" w:type="dxa"/>
            <w:shd w:val="clear" w:color="auto" w:fill="auto"/>
            <w:noWrap/>
            <w:vAlign w:val="bottom"/>
            <w:hideMark/>
          </w:tcPr>
          <w:p w14:paraId="3A475B73" w14:textId="77777777" w:rsidR="00AB384D" w:rsidRPr="00AB384D" w:rsidRDefault="00AB384D" w:rsidP="00AB384D">
            <w:pPr>
              <w:spacing w:after="0" w:line="240" w:lineRule="auto"/>
              <w:rPr>
                <w:rFonts w:eastAsia="Times New Roman"/>
              </w:rPr>
            </w:pPr>
          </w:p>
        </w:tc>
        <w:tc>
          <w:tcPr>
            <w:tcW w:w="1300" w:type="dxa"/>
            <w:shd w:val="clear" w:color="auto" w:fill="auto"/>
            <w:noWrap/>
            <w:vAlign w:val="bottom"/>
            <w:hideMark/>
          </w:tcPr>
          <w:p w14:paraId="5E8C12EF" w14:textId="77777777" w:rsidR="00AB384D" w:rsidRPr="00AB384D" w:rsidRDefault="00AB384D" w:rsidP="00AB384D">
            <w:pPr>
              <w:spacing w:after="0" w:line="240" w:lineRule="auto"/>
              <w:rPr>
                <w:rFonts w:eastAsia="Times New Roman"/>
                <w:sz w:val="20"/>
                <w:szCs w:val="20"/>
              </w:rPr>
            </w:pPr>
          </w:p>
        </w:tc>
        <w:tc>
          <w:tcPr>
            <w:tcW w:w="1480" w:type="dxa"/>
            <w:shd w:val="clear" w:color="auto" w:fill="auto"/>
            <w:vAlign w:val="bottom"/>
            <w:hideMark/>
          </w:tcPr>
          <w:p w14:paraId="3EBF3197" w14:textId="77777777" w:rsidR="00AB384D" w:rsidRPr="00CE6F92" w:rsidRDefault="00AB384D" w:rsidP="00AB384D">
            <w:pPr>
              <w:spacing w:after="0" w:line="240" w:lineRule="auto"/>
              <w:jc w:val="center"/>
              <w:rPr>
                <w:color w:val="3514DC"/>
              </w:rPr>
            </w:pPr>
            <w:r w:rsidRPr="00CE6F92">
              <w:rPr>
                <w:color w:val="3514DC"/>
              </w:rPr>
              <w:t>Prior Knowledge</w:t>
            </w:r>
          </w:p>
        </w:tc>
        <w:tc>
          <w:tcPr>
            <w:tcW w:w="220" w:type="dxa"/>
            <w:shd w:val="clear" w:color="auto" w:fill="auto"/>
            <w:noWrap/>
            <w:vAlign w:val="bottom"/>
            <w:hideMark/>
          </w:tcPr>
          <w:p w14:paraId="47DE54BB" w14:textId="77777777" w:rsidR="00AB384D" w:rsidRPr="00CE6F92" w:rsidRDefault="00AB384D" w:rsidP="00AB384D">
            <w:pPr>
              <w:spacing w:after="0" w:line="240" w:lineRule="auto"/>
              <w:jc w:val="center"/>
              <w:rPr>
                <w:color w:val="3514DC"/>
              </w:rPr>
            </w:pPr>
          </w:p>
        </w:tc>
        <w:tc>
          <w:tcPr>
            <w:tcW w:w="1400" w:type="dxa"/>
            <w:shd w:val="clear" w:color="auto" w:fill="auto"/>
            <w:vAlign w:val="bottom"/>
            <w:hideMark/>
          </w:tcPr>
          <w:p w14:paraId="376572D6" w14:textId="77777777" w:rsidR="00AB384D" w:rsidRPr="00CE6F92" w:rsidRDefault="00AB384D" w:rsidP="00AB384D">
            <w:pPr>
              <w:spacing w:after="0" w:line="240" w:lineRule="auto"/>
              <w:jc w:val="center"/>
              <w:rPr>
                <w:color w:val="3514DC"/>
              </w:rPr>
            </w:pPr>
            <w:r w:rsidRPr="00CE6F92">
              <w:rPr>
                <w:color w:val="3514DC"/>
              </w:rPr>
              <w:t>Conceptual Development</w:t>
            </w:r>
          </w:p>
        </w:tc>
        <w:tc>
          <w:tcPr>
            <w:tcW w:w="220" w:type="dxa"/>
            <w:shd w:val="clear" w:color="auto" w:fill="auto"/>
            <w:noWrap/>
            <w:vAlign w:val="bottom"/>
            <w:hideMark/>
          </w:tcPr>
          <w:p w14:paraId="49F33A9B" w14:textId="77777777" w:rsidR="00AB384D" w:rsidRPr="00CE6F92" w:rsidRDefault="00AB384D" w:rsidP="00AB384D">
            <w:pPr>
              <w:spacing w:after="0" w:line="240" w:lineRule="auto"/>
              <w:jc w:val="center"/>
              <w:rPr>
                <w:color w:val="3514DC"/>
              </w:rPr>
            </w:pPr>
          </w:p>
        </w:tc>
        <w:tc>
          <w:tcPr>
            <w:tcW w:w="1260" w:type="dxa"/>
            <w:shd w:val="clear" w:color="auto" w:fill="auto"/>
            <w:vAlign w:val="bottom"/>
            <w:hideMark/>
          </w:tcPr>
          <w:p w14:paraId="131C355C" w14:textId="77777777" w:rsidR="00AB384D" w:rsidRPr="00CE6F92" w:rsidRDefault="00AB384D" w:rsidP="00AB384D">
            <w:pPr>
              <w:spacing w:after="0" w:line="240" w:lineRule="auto"/>
              <w:jc w:val="center"/>
              <w:rPr>
                <w:color w:val="3514DC"/>
              </w:rPr>
            </w:pPr>
            <w:r w:rsidRPr="00CE6F92">
              <w:rPr>
                <w:color w:val="3514DC"/>
              </w:rPr>
              <w:t>Student Reflection</w:t>
            </w:r>
          </w:p>
        </w:tc>
        <w:tc>
          <w:tcPr>
            <w:tcW w:w="220" w:type="dxa"/>
            <w:shd w:val="clear" w:color="auto" w:fill="auto"/>
            <w:noWrap/>
            <w:vAlign w:val="bottom"/>
            <w:hideMark/>
          </w:tcPr>
          <w:p w14:paraId="3C37D739" w14:textId="77777777" w:rsidR="00AB384D" w:rsidRPr="00CE6F92" w:rsidRDefault="00AB384D" w:rsidP="00AB384D">
            <w:pPr>
              <w:spacing w:after="0" w:line="240" w:lineRule="auto"/>
              <w:jc w:val="center"/>
              <w:rPr>
                <w:color w:val="3514DC"/>
              </w:rPr>
            </w:pPr>
          </w:p>
        </w:tc>
        <w:tc>
          <w:tcPr>
            <w:tcW w:w="1260" w:type="dxa"/>
            <w:shd w:val="clear" w:color="auto" w:fill="auto"/>
            <w:vAlign w:val="bottom"/>
            <w:hideMark/>
          </w:tcPr>
          <w:p w14:paraId="45488684" w14:textId="77777777" w:rsidR="00AB384D" w:rsidRPr="00CE6F92" w:rsidRDefault="00AB384D" w:rsidP="00AB384D">
            <w:pPr>
              <w:spacing w:after="0" w:line="240" w:lineRule="auto"/>
              <w:jc w:val="center"/>
              <w:rPr>
                <w:color w:val="3514DC"/>
              </w:rPr>
            </w:pPr>
            <w:r w:rsidRPr="00CE6F92">
              <w:rPr>
                <w:color w:val="3514DC"/>
              </w:rPr>
              <w:t>Assessment Type</w:t>
            </w:r>
          </w:p>
        </w:tc>
        <w:tc>
          <w:tcPr>
            <w:tcW w:w="220" w:type="dxa"/>
            <w:shd w:val="clear" w:color="auto" w:fill="auto"/>
            <w:noWrap/>
            <w:vAlign w:val="bottom"/>
            <w:hideMark/>
          </w:tcPr>
          <w:p w14:paraId="0A5D4382" w14:textId="77777777" w:rsidR="00AB384D" w:rsidRPr="00CE6F92" w:rsidRDefault="00AB384D" w:rsidP="00AB384D">
            <w:pPr>
              <w:spacing w:after="0" w:line="240" w:lineRule="auto"/>
              <w:jc w:val="center"/>
              <w:rPr>
                <w:color w:val="3514DC"/>
              </w:rPr>
            </w:pPr>
          </w:p>
        </w:tc>
        <w:tc>
          <w:tcPr>
            <w:tcW w:w="1320" w:type="dxa"/>
            <w:shd w:val="clear" w:color="auto" w:fill="auto"/>
            <w:vAlign w:val="bottom"/>
            <w:hideMark/>
          </w:tcPr>
          <w:p w14:paraId="36F385A1" w14:textId="77777777" w:rsidR="00AB384D" w:rsidRPr="00CE6F92" w:rsidRDefault="00AB384D" w:rsidP="00AB384D">
            <w:pPr>
              <w:spacing w:after="0" w:line="240" w:lineRule="auto"/>
              <w:jc w:val="center"/>
              <w:rPr>
                <w:color w:val="3514DC"/>
              </w:rPr>
            </w:pPr>
            <w:r w:rsidRPr="00CE6F92">
              <w:rPr>
                <w:color w:val="3514DC"/>
              </w:rPr>
              <w:t>Role of Assessing</w:t>
            </w:r>
          </w:p>
        </w:tc>
      </w:tr>
      <w:tr w:rsidR="00AB384D" w:rsidRPr="00AB384D" w14:paraId="493B1878" w14:textId="77777777" w:rsidTr="00517320">
        <w:trPr>
          <w:trHeight w:val="120"/>
        </w:trPr>
        <w:tc>
          <w:tcPr>
            <w:tcW w:w="1400" w:type="dxa"/>
            <w:shd w:val="clear" w:color="auto" w:fill="auto"/>
            <w:noWrap/>
            <w:vAlign w:val="bottom"/>
            <w:hideMark/>
          </w:tcPr>
          <w:p w14:paraId="1BC40150" w14:textId="77777777" w:rsidR="00AB384D" w:rsidRPr="00AB384D" w:rsidRDefault="00AB384D" w:rsidP="00AB384D">
            <w:pPr>
              <w:spacing w:after="0" w:line="240" w:lineRule="auto"/>
              <w:jc w:val="center"/>
              <w:rPr>
                <w:rFonts w:eastAsia="Times New Roman"/>
                <w:color w:val="000000"/>
              </w:rPr>
            </w:pPr>
          </w:p>
        </w:tc>
        <w:tc>
          <w:tcPr>
            <w:tcW w:w="1300" w:type="dxa"/>
            <w:shd w:val="clear" w:color="auto" w:fill="auto"/>
            <w:noWrap/>
            <w:vAlign w:val="bottom"/>
            <w:hideMark/>
          </w:tcPr>
          <w:p w14:paraId="497327EA" w14:textId="77777777" w:rsidR="00AB384D" w:rsidRPr="00AB384D" w:rsidRDefault="00AB384D" w:rsidP="00AB384D">
            <w:pPr>
              <w:spacing w:after="0" w:line="240" w:lineRule="auto"/>
              <w:rPr>
                <w:rFonts w:eastAsia="Times New Roman"/>
                <w:sz w:val="20"/>
                <w:szCs w:val="20"/>
              </w:rPr>
            </w:pPr>
          </w:p>
        </w:tc>
        <w:tc>
          <w:tcPr>
            <w:tcW w:w="1480" w:type="dxa"/>
            <w:shd w:val="clear" w:color="auto" w:fill="auto"/>
            <w:noWrap/>
            <w:vAlign w:val="bottom"/>
            <w:hideMark/>
          </w:tcPr>
          <w:p w14:paraId="61CF0B48" w14:textId="77777777" w:rsidR="00AB384D" w:rsidRPr="00AB384D" w:rsidRDefault="00AB384D" w:rsidP="00AB384D">
            <w:pPr>
              <w:spacing w:after="0" w:line="240" w:lineRule="auto"/>
              <w:rPr>
                <w:rFonts w:eastAsia="Times New Roman"/>
                <w:sz w:val="20"/>
                <w:szCs w:val="20"/>
              </w:rPr>
            </w:pPr>
          </w:p>
        </w:tc>
        <w:tc>
          <w:tcPr>
            <w:tcW w:w="220" w:type="dxa"/>
            <w:shd w:val="clear" w:color="auto" w:fill="auto"/>
            <w:noWrap/>
            <w:vAlign w:val="bottom"/>
            <w:hideMark/>
          </w:tcPr>
          <w:p w14:paraId="5EF0A9BD" w14:textId="77777777" w:rsidR="00AB384D" w:rsidRPr="00AB384D" w:rsidRDefault="00AB384D" w:rsidP="00AB384D">
            <w:pPr>
              <w:spacing w:after="0" w:line="240" w:lineRule="auto"/>
              <w:rPr>
                <w:rFonts w:eastAsia="Times New Roman"/>
                <w:sz w:val="20"/>
                <w:szCs w:val="20"/>
              </w:rPr>
            </w:pPr>
          </w:p>
        </w:tc>
        <w:tc>
          <w:tcPr>
            <w:tcW w:w="1400" w:type="dxa"/>
            <w:shd w:val="clear" w:color="auto" w:fill="auto"/>
            <w:noWrap/>
            <w:vAlign w:val="bottom"/>
            <w:hideMark/>
          </w:tcPr>
          <w:p w14:paraId="51AC96AB" w14:textId="77777777" w:rsidR="00AB384D" w:rsidRPr="00AB384D" w:rsidRDefault="00AB384D" w:rsidP="00AB384D">
            <w:pPr>
              <w:spacing w:after="0" w:line="240" w:lineRule="auto"/>
              <w:rPr>
                <w:rFonts w:eastAsia="Times New Roman"/>
                <w:sz w:val="20"/>
                <w:szCs w:val="20"/>
              </w:rPr>
            </w:pPr>
          </w:p>
        </w:tc>
        <w:tc>
          <w:tcPr>
            <w:tcW w:w="220" w:type="dxa"/>
            <w:shd w:val="clear" w:color="auto" w:fill="auto"/>
            <w:noWrap/>
            <w:vAlign w:val="bottom"/>
            <w:hideMark/>
          </w:tcPr>
          <w:p w14:paraId="651D043F" w14:textId="77777777" w:rsidR="00AB384D" w:rsidRPr="00AB384D" w:rsidRDefault="00AB384D" w:rsidP="00AB384D">
            <w:pPr>
              <w:spacing w:after="0" w:line="240" w:lineRule="auto"/>
              <w:rPr>
                <w:rFonts w:eastAsia="Times New Roman"/>
                <w:sz w:val="20"/>
                <w:szCs w:val="20"/>
              </w:rPr>
            </w:pPr>
          </w:p>
        </w:tc>
        <w:tc>
          <w:tcPr>
            <w:tcW w:w="1260" w:type="dxa"/>
            <w:shd w:val="clear" w:color="auto" w:fill="auto"/>
            <w:noWrap/>
            <w:vAlign w:val="bottom"/>
            <w:hideMark/>
          </w:tcPr>
          <w:p w14:paraId="2538D4D5" w14:textId="77777777" w:rsidR="00AB384D" w:rsidRPr="00AB384D" w:rsidRDefault="00AB384D" w:rsidP="00AB384D">
            <w:pPr>
              <w:spacing w:after="0" w:line="240" w:lineRule="auto"/>
              <w:rPr>
                <w:rFonts w:eastAsia="Times New Roman"/>
                <w:sz w:val="20"/>
                <w:szCs w:val="20"/>
              </w:rPr>
            </w:pPr>
          </w:p>
        </w:tc>
        <w:tc>
          <w:tcPr>
            <w:tcW w:w="220" w:type="dxa"/>
            <w:shd w:val="clear" w:color="auto" w:fill="auto"/>
            <w:noWrap/>
            <w:vAlign w:val="bottom"/>
            <w:hideMark/>
          </w:tcPr>
          <w:p w14:paraId="1049B118" w14:textId="77777777" w:rsidR="00AB384D" w:rsidRPr="00AB384D" w:rsidRDefault="00AB384D" w:rsidP="00AB384D">
            <w:pPr>
              <w:spacing w:after="0" w:line="240" w:lineRule="auto"/>
              <w:rPr>
                <w:rFonts w:eastAsia="Times New Roman"/>
                <w:sz w:val="20"/>
                <w:szCs w:val="20"/>
              </w:rPr>
            </w:pPr>
          </w:p>
        </w:tc>
        <w:tc>
          <w:tcPr>
            <w:tcW w:w="1260" w:type="dxa"/>
            <w:shd w:val="clear" w:color="auto" w:fill="auto"/>
            <w:noWrap/>
            <w:vAlign w:val="bottom"/>
            <w:hideMark/>
          </w:tcPr>
          <w:p w14:paraId="761BA4A8" w14:textId="77777777" w:rsidR="00AB384D" w:rsidRPr="00AB384D" w:rsidRDefault="00AB384D" w:rsidP="00AB384D">
            <w:pPr>
              <w:spacing w:after="0" w:line="240" w:lineRule="auto"/>
              <w:rPr>
                <w:rFonts w:eastAsia="Times New Roman"/>
                <w:sz w:val="20"/>
                <w:szCs w:val="20"/>
              </w:rPr>
            </w:pPr>
          </w:p>
        </w:tc>
        <w:tc>
          <w:tcPr>
            <w:tcW w:w="220" w:type="dxa"/>
            <w:shd w:val="clear" w:color="auto" w:fill="auto"/>
            <w:noWrap/>
            <w:vAlign w:val="bottom"/>
            <w:hideMark/>
          </w:tcPr>
          <w:p w14:paraId="1D88B10D" w14:textId="77777777" w:rsidR="00AB384D" w:rsidRPr="00AB384D" w:rsidRDefault="00AB384D" w:rsidP="00AB384D">
            <w:pPr>
              <w:spacing w:after="0" w:line="240" w:lineRule="auto"/>
              <w:rPr>
                <w:rFonts w:eastAsia="Times New Roman"/>
                <w:sz w:val="20"/>
                <w:szCs w:val="20"/>
              </w:rPr>
            </w:pPr>
          </w:p>
        </w:tc>
        <w:tc>
          <w:tcPr>
            <w:tcW w:w="1320" w:type="dxa"/>
            <w:shd w:val="clear" w:color="auto" w:fill="auto"/>
            <w:noWrap/>
            <w:vAlign w:val="bottom"/>
            <w:hideMark/>
          </w:tcPr>
          <w:p w14:paraId="1FFD087B" w14:textId="77777777" w:rsidR="00AB384D" w:rsidRPr="00AB384D" w:rsidRDefault="00AB384D" w:rsidP="00AB384D">
            <w:pPr>
              <w:spacing w:after="0" w:line="240" w:lineRule="auto"/>
              <w:rPr>
                <w:rFonts w:eastAsia="Times New Roman"/>
                <w:sz w:val="20"/>
                <w:szCs w:val="20"/>
              </w:rPr>
            </w:pPr>
          </w:p>
        </w:tc>
      </w:tr>
      <w:tr w:rsidR="00AB384D" w:rsidRPr="00AB384D" w14:paraId="7C167F33" w14:textId="77777777" w:rsidTr="00517320">
        <w:trPr>
          <w:trHeight w:val="312"/>
        </w:trPr>
        <w:tc>
          <w:tcPr>
            <w:tcW w:w="1400" w:type="dxa"/>
            <w:vMerge w:val="restart"/>
            <w:shd w:val="clear" w:color="auto" w:fill="auto"/>
            <w:noWrap/>
            <w:vAlign w:val="center"/>
            <w:hideMark/>
          </w:tcPr>
          <w:p w14:paraId="7B269FDD"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Pre-Institute</w:t>
            </w:r>
          </w:p>
        </w:tc>
        <w:tc>
          <w:tcPr>
            <w:tcW w:w="1300" w:type="dxa"/>
            <w:shd w:val="clear" w:color="auto" w:fill="auto"/>
            <w:noWrap/>
            <w:vAlign w:val="center"/>
            <w:hideMark/>
          </w:tcPr>
          <w:p w14:paraId="13CFCD2F"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Mode</w:t>
            </w:r>
          </w:p>
        </w:tc>
        <w:tc>
          <w:tcPr>
            <w:tcW w:w="1480" w:type="dxa"/>
            <w:shd w:val="clear" w:color="auto" w:fill="auto"/>
            <w:noWrap/>
            <w:vAlign w:val="bottom"/>
            <w:hideMark/>
          </w:tcPr>
          <w:p w14:paraId="25FF4D22" w14:textId="30B3466B"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c>
          <w:tcPr>
            <w:tcW w:w="220" w:type="dxa"/>
            <w:shd w:val="clear" w:color="auto" w:fill="auto"/>
            <w:noWrap/>
            <w:vAlign w:val="bottom"/>
            <w:hideMark/>
          </w:tcPr>
          <w:p w14:paraId="4E3EC8A6" w14:textId="77777777" w:rsidR="00AB384D" w:rsidRPr="00AB384D" w:rsidRDefault="00AB384D" w:rsidP="00AB384D">
            <w:pPr>
              <w:spacing w:after="0" w:line="240" w:lineRule="auto"/>
              <w:jc w:val="center"/>
              <w:rPr>
                <w:rFonts w:eastAsia="Times New Roman"/>
                <w:color w:val="000000"/>
              </w:rPr>
            </w:pPr>
          </w:p>
        </w:tc>
        <w:tc>
          <w:tcPr>
            <w:tcW w:w="1400" w:type="dxa"/>
            <w:shd w:val="clear" w:color="auto" w:fill="auto"/>
            <w:noWrap/>
            <w:vAlign w:val="bottom"/>
            <w:hideMark/>
          </w:tcPr>
          <w:p w14:paraId="59A46417"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3</w:t>
            </w:r>
          </w:p>
        </w:tc>
        <w:tc>
          <w:tcPr>
            <w:tcW w:w="220" w:type="dxa"/>
            <w:shd w:val="clear" w:color="auto" w:fill="auto"/>
            <w:noWrap/>
            <w:vAlign w:val="bottom"/>
            <w:hideMark/>
          </w:tcPr>
          <w:p w14:paraId="12A0B3C1"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3A1CAE15" w14:textId="68A14D69"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c>
          <w:tcPr>
            <w:tcW w:w="220" w:type="dxa"/>
            <w:shd w:val="clear" w:color="auto" w:fill="auto"/>
            <w:noWrap/>
            <w:vAlign w:val="bottom"/>
            <w:hideMark/>
          </w:tcPr>
          <w:p w14:paraId="794F3397"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6E7B317F"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c>
          <w:tcPr>
            <w:tcW w:w="220" w:type="dxa"/>
            <w:shd w:val="clear" w:color="auto" w:fill="auto"/>
            <w:noWrap/>
            <w:vAlign w:val="bottom"/>
            <w:hideMark/>
          </w:tcPr>
          <w:p w14:paraId="0726C8E8" w14:textId="77777777" w:rsidR="00AB384D" w:rsidRPr="00AB384D" w:rsidRDefault="00AB384D" w:rsidP="00AB384D">
            <w:pPr>
              <w:spacing w:after="0" w:line="240" w:lineRule="auto"/>
              <w:jc w:val="center"/>
              <w:rPr>
                <w:rFonts w:eastAsia="Times New Roman"/>
                <w:color w:val="000000"/>
              </w:rPr>
            </w:pPr>
          </w:p>
        </w:tc>
        <w:tc>
          <w:tcPr>
            <w:tcW w:w="1320" w:type="dxa"/>
            <w:shd w:val="clear" w:color="auto" w:fill="auto"/>
            <w:noWrap/>
            <w:vAlign w:val="bottom"/>
            <w:hideMark/>
          </w:tcPr>
          <w:p w14:paraId="75F611D1"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r>
      <w:tr w:rsidR="00AB384D" w:rsidRPr="00AB384D" w14:paraId="7A52D50B" w14:textId="77777777" w:rsidTr="00517320">
        <w:trPr>
          <w:trHeight w:val="312"/>
        </w:trPr>
        <w:tc>
          <w:tcPr>
            <w:tcW w:w="1400" w:type="dxa"/>
            <w:vMerge/>
            <w:vAlign w:val="center"/>
            <w:hideMark/>
          </w:tcPr>
          <w:p w14:paraId="061AC689" w14:textId="77777777" w:rsidR="00AB384D" w:rsidRPr="00AB384D" w:rsidRDefault="00AB384D" w:rsidP="00AB384D">
            <w:pPr>
              <w:spacing w:after="0" w:line="240" w:lineRule="auto"/>
              <w:rPr>
                <w:rFonts w:eastAsia="Times New Roman"/>
                <w:color w:val="000000"/>
              </w:rPr>
            </w:pPr>
          </w:p>
        </w:tc>
        <w:tc>
          <w:tcPr>
            <w:tcW w:w="1300" w:type="dxa"/>
            <w:shd w:val="clear" w:color="auto" w:fill="auto"/>
            <w:noWrap/>
            <w:vAlign w:val="center"/>
            <w:hideMark/>
          </w:tcPr>
          <w:p w14:paraId="4C3F24C0"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Median</w:t>
            </w:r>
          </w:p>
        </w:tc>
        <w:tc>
          <w:tcPr>
            <w:tcW w:w="1480" w:type="dxa"/>
            <w:shd w:val="clear" w:color="auto" w:fill="auto"/>
            <w:noWrap/>
            <w:vAlign w:val="bottom"/>
            <w:hideMark/>
          </w:tcPr>
          <w:p w14:paraId="2D71AF52" w14:textId="0F23AD7C"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c>
          <w:tcPr>
            <w:tcW w:w="220" w:type="dxa"/>
            <w:shd w:val="clear" w:color="auto" w:fill="auto"/>
            <w:noWrap/>
            <w:vAlign w:val="bottom"/>
            <w:hideMark/>
          </w:tcPr>
          <w:p w14:paraId="7D5FA0E5" w14:textId="77777777" w:rsidR="00AB384D" w:rsidRPr="00AB384D" w:rsidRDefault="00AB384D" w:rsidP="00AB384D">
            <w:pPr>
              <w:spacing w:after="0" w:line="240" w:lineRule="auto"/>
              <w:jc w:val="center"/>
              <w:rPr>
                <w:rFonts w:eastAsia="Times New Roman"/>
                <w:color w:val="000000"/>
              </w:rPr>
            </w:pPr>
          </w:p>
        </w:tc>
        <w:tc>
          <w:tcPr>
            <w:tcW w:w="1400" w:type="dxa"/>
            <w:shd w:val="clear" w:color="auto" w:fill="auto"/>
            <w:noWrap/>
            <w:vAlign w:val="bottom"/>
            <w:hideMark/>
          </w:tcPr>
          <w:p w14:paraId="58AC75AA"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3</w:t>
            </w:r>
          </w:p>
        </w:tc>
        <w:tc>
          <w:tcPr>
            <w:tcW w:w="220" w:type="dxa"/>
            <w:shd w:val="clear" w:color="auto" w:fill="auto"/>
            <w:noWrap/>
            <w:vAlign w:val="bottom"/>
            <w:hideMark/>
          </w:tcPr>
          <w:p w14:paraId="6B2AD9FD"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65F9B9F1" w14:textId="6546363B" w:rsidR="00AB384D" w:rsidRPr="00AB384D" w:rsidRDefault="00F3074C" w:rsidP="00AB384D">
            <w:pPr>
              <w:spacing w:after="0" w:line="240" w:lineRule="auto"/>
              <w:jc w:val="center"/>
              <w:rPr>
                <w:rFonts w:eastAsia="Times New Roman"/>
                <w:color w:val="000000"/>
              </w:rPr>
            </w:pPr>
            <w:r>
              <w:rPr>
                <w:rFonts w:eastAsia="Times New Roman"/>
                <w:color w:val="000000"/>
              </w:rPr>
              <w:t>2</w:t>
            </w:r>
          </w:p>
        </w:tc>
        <w:tc>
          <w:tcPr>
            <w:tcW w:w="220" w:type="dxa"/>
            <w:shd w:val="clear" w:color="auto" w:fill="auto"/>
            <w:noWrap/>
            <w:vAlign w:val="bottom"/>
            <w:hideMark/>
          </w:tcPr>
          <w:p w14:paraId="385F3648"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37B238EE" w14:textId="5219D59D" w:rsidR="00AB384D" w:rsidRPr="00AB384D" w:rsidRDefault="00F3074C" w:rsidP="00AB384D">
            <w:pPr>
              <w:spacing w:after="0" w:line="240" w:lineRule="auto"/>
              <w:jc w:val="center"/>
              <w:rPr>
                <w:rFonts w:eastAsia="Times New Roman"/>
                <w:color w:val="000000"/>
              </w:rPr>
            </w:pPr>
            <w:r>
              <w:rPr>
                <w:rFonts w:eastAsia="Times New Roman"/>
                <w:color w:val="000000"/>
              </w:rPr>
              <w:t>2</w:t>
            </w:r>
          </w:p>
        </w:tc>
        <w:tc>
          <w:tcPr>
            <w:tcW w:w="220" w:type="dxa"/>
            <w:shd w:val="clear" w:color="auto" w:fill="auto"/>
            <w:noWrap/>
            <w:vAlign w:val="bottom"/>
            <w:hideMark/>
          </w:tcPr>
          <w:p w14:paraId="4B3ED4F5" w14:textId="77777777" w:rsidR="00AB384D" w:rsidRPr="00AB384D" w:rsidRDefault="00AB384D" w:rsidP="00AB384D">
            <w:pPr>
              <w:spacing w:after="0" w:line="240" w:lineRule="auto"/>
              <w:jc w:val="center"/>
              <w:rPr>
                <w:rFonts w:eastAsia="Times New Roman"/>
                <w:color w:val="000000"/>
              </w:rPr>
            </w:pPr>
          </w:p>
        </w:tc>
        <w:tc>
          <w:tcPr>
            <w:tcW w:w="1320" w:type="dxa"/>
            <w:shd w:val="clear" w:color="auto" w:fill="auto"/>
            <w:noWrap/>
            <w:vAlign w:val="bottom"/>
            <w:hideMark/>
          </w:tcPr>
          <w:p w14:paraId="447C9452"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2</w:t>
            </w:r>
          </w:p>
        </w:tc>
      </w:tr>
      <w:tr w:rsidR="00AB384D" w:rsidRPr="00AB384D" w14:paraId="4933B417" w14:textId="77777777" w:rsidTr="00517320">
        <w:trPr>
          <w:trHeight w:val="312"/>
        </w:trPr>
        <w:tc>
          <w:tcPr>
            <w:tcW w:w="1400" w:type="dxa"/>
            <w:shd w:val="clear" w:color="auto" w:fill="auto"/>
            <w:noWrap/>
            <w:vAlign w:val="bottom"/>
            <w:hideMark/>
          </w:tcPr>
          <w:p w14:paraId="56C3FD3B" w14:textId="77777777" w:rsidR="00AB384D" w:rsidRPr="00AB384D" w:rsidRDefault="00AB384D" w:rsidP="00AB384D">
            <w:pPr>
              <w:spacing w:after="0" w:line="240" w:lineRule="auto"/>
              <w:jc w:val="center"/>
              <w:rPr>
                <w:rFonts w:eastAsia="Times New Roman"/>
                <w:color w:val="000000"/>
              </w:rPr>
            </w:pPr>
          </w:p>
        </w:tc>
        <w:tc>
          <w:tcPr>
            <w:tcW w:w="1300" w:type="dxa"/>
            <w:shd w:val="clear" w:color="auto" w:fill="auto"/>
            <w:noWrap/>
            <w:vAlign w:val="bottom"/>
            <w:hideMark/>
          </w:tcPr>
          <w:p w14:paraId="37D6B28D" w14:textId="77777777" w:rsidR="00AB384D" w:rsidRPr="00AB384D" w:rsidRDefault="00AB384D" w:rsidP="00AB384D">
            <w:pPr>
              <w:spacing w:after="0" w:line="240" w:lineRule="auto"/>
              <w:rPr>
                <w:rFonts w:eastAsia="Times New Roman"/>
                <w:sz w:val="20"/>
                <w:szCs w:val="20"/>
              </w:rPr>
            </w:pPr>
          </w:p>
        </w:tc>
        <w:tc>
          <w:tcPr>
            <w:tcW w:w="1480" w:type="dxa"/>
            <w:shd w:val="clear" w:color="auto" w:fill="auto"/>
            <w:noWrap/>
            <w:vAlign w:val="bottom"/>
            <w:hideMark/>
          </w:tcPr>
          <w:p w14:paraId="428C9733" w14:textId="77777777" w:rsidR="00AB384D" w:rsidRPr="00AB384D" w:rsidRDefault="00AB384D" w:rsidP="00AB384D">
            <w:pPr>
              <w:spacing w:after="0" w:line="240" w:lineRule="auto"/>
              <w:rPr>
                <w:rFonts w:eastAsia="Times New Roman"/>
                <w:sz w:val="20"/>
                <w:szCs w:val="20"/>
              </w:rPr>
            </w:pPr>
          </w:p>
        </w:tc>
        <w:tc>
          <w:tcPr>
            <w:tcW w:w="220" w:type="dxa"/>
            <w:shd w:val="clear" w:color="auto" w:fill="auto"/>
            <w:noWrap/>
            <w:vAlign w:val="bottom"/>
            <w:hideMark/>
          </w:tcPr>
          <w:p w14:paraId="26916069" w14:textId="77777777" w:rsidR="00AB384D" w:rsidRPr="00AB384D" w:rsidRDefault="00AB384D" w:rsidP="00AB384D">
            <w:pPr>
              <w:spacing w:after="0" w:line="240" w:lineRule="auto"/>
              <w:jc w:val="center"/>
              <w:rPr>
                <w:rFonts w:eastAsia="Times New Roman"/>
                <w:sz w:val="20"/>
                <w:szCs w:val="20"/>
              </w:rPr>
            </w:pPr>
          </w:p>
        </w:tc>
        <w:tc>
          <w:tcPr>
            <w:tcW w:w="1400" w:type="dxa"/>
            <w:shd w:val="clear" w:color="auto" w:fill="auto"/>
            <w:noWrap/>
            <w:vAlign w:val="bottom"/>
            <w:hideMark/>
          </w:tcPr>
          <w:p w14:paraId="322C70AA" w14:textId="77777777" w:rsidR="00AB384D" w:rsidRPr="00AB384D" w:rsidRDefault="00AB384D" w:rsidP="00AB384D">
            <w:pPr>
              <w:spacing w:after="0" w:line="240" w:lineRule="auto"/>
              <w:jc w:val="center"/>
              <w:rPr>
                <w:rFonts w:eastAsia="Times New Roman"/>
                <w:sz w:val="20"/>
                <w:szCs w:val="20"/>
              </w:rPr>
            </w:pPr>
          </w:p>
        </w:tc>
        <w:tc>
          <w:tcPr>
            <w:tcW w:w="220" w:type="dxa"/>
            <w:shd w:val="clear" w:color="auto" w:fill="auto"/>
            <w:noWrap/>
            <w:vAlign w:val="bottom"/>
            <w:hideMark/>
          </w:tcPr>
          <w:p w14:paraId="6DEAFF66" w14:textId="77777777" w:rsidR="00AB384D" w:rsidRPr="00AB384D" w:rsidRDefault="00AB384D" w:rsidP="00AB384D">
            <w:pPr>
              <w:spacing w:after="0" w:line="240" w:lineRule="auto"/>
              <w:jc w:val="center"/>
              <w:rPr>
                <w:rFonts w:eastAsia="Times New Roman"/>
                <w:sz w:val="20"/>
                <w:szCs w:val="20"/>
              </w:rPr>
            </w:pPr>
          </w:p>
        </w:tc>
        <w:tc>
          <w:tcPr>
            <w:tcW w:w="1260" w:type="dxa"/>
            <w:shd w:val="clear" w:color="auto" w:fill="auto"/>
            <w:noWrap/>
            <w:vAlign w:val="bottom"/>
            <w:hideMark/>
          </w:tcPr>
          <w:p w14:paraId="6B54DD7E" w14:textId="77777777" w:rsidR="00AB384D" w:rsidRPr="00AB384D" w:rsidRDefault="00AB384D" w:rsidP="00AB384D">
            <w:pPr>
              <w:spacing w:after="0" w:line="240" w:lineRule="auto"/>
              <w:jc w:val="center"/>
              <w:rPr>
                <w:rFonts w:eastAsia="Times New Roman"/>
                <w:sz w:val="20"/>
                <w:szCs w:val="20"/>
              </w:rPr>
            </w:pPr>
          </w:p>
        </w:tc>
        <w:tc>
          <w:tcPr>
            <w:tcW w:w="220" w:type="dxa"/>
            <w:shd w:val="clear" w:color="auto" w:fill="auto"/>
            <w:noWrap/>
            <w:vAlign w:val="bottom"/>
            <w:hideMark/>
          </w:tcPr>
          <w:p w14:paraId="31C22B47" w14:textId="77777777" w:rsidR="00AB384D" w:rsidRPr="00AB384D" w:rsidRDefault="00AB384D" w:rsidP="00AB384D">
            <w:pPr>
              <w:spacing w:after="0" w:line="240" w:lineRule="auto"/>
              <w:jc w:val="center"/>
              <w:rPr>
                <w:rFonts w:eastAsia="Times New Roman"/>
                <w:sz w:val="20"/>
                <w:szCs w:val="20"/>
              </w:rPr>
            </w:pPr>
          </w:p>
        </w:tc>
        <w:tc>
          <w:tcPr>
            <w:tcW w:w="1260" w:type="dxa"/>
            <w:shd w:val="clear" w:color="auto" w:fill="auto"/>
            <w:noWrap/>
            <w:vAlign w:val="bottom"/>
            <w:hideMark/>
          </w:tcPr>
          <w:p w14:paraId="01030A0E" w14:textId="77777777" w:rsidR="00AB384D" w:rsidRPr="00AB384D" w:rsidRDefault="00AB384D" w:rsidP="00AB384D">
            <w:pPr>
              <w:spacing w:after="0" w:line="240" w:lineRule="auto"/>
              <w:jc w:val="center"/>
              <w:rPr>
                <w:rFonts w:eastAsia="Times New Roman"/>
                <w:sz w:val="20"/>
                <w:szCs w:val="20"/>
              </w:rPr>
            </w:pPr>
          </w:p>
        </w:tc>
        <w:tc>
          <w:tcPr>
            <w:tcW w:w="220" w:type="dxa"/>
            <w:shd w:val="clear" w:color="auto" w:fill="auto"/>
            <w:noWrap/>
            <w:vAlign w:val="bottom"/>
            <w:hideMark/>
          </w:tcPr>
          <w:p w14:paraId="6CA56498" w14:textId="77777777" w:rsidR="00AB384D" w:rsidRPr="00AB384D" w:rsidRDefault="00AB384D" w:rsidP="00AB384D">
            <w:pPr>
              <w:spacing w:after="0" w:line="240" w:lineRule="auto"/>
              <w:jc w:val="center"/>
              <w:rPr>
                <w:rFonts w:eastAsia="Times New Roman"/>
                <w:sz w:val="20"/>
                <w:szCs w:val="20"/>
              </w:rPr>
            </w:pPr>
          </w:p>
        </w:tc>
        <w:tc>
          <w:tcPr>
            <w:tcW w:w="1320" w:type="dxa"/>
            <w:shd w:val="clear" w:color="auto" w:fill="auto"/>
            <w:noWrap/>
            <w:vAlign w:val="bottom"/>
            <w:hideMark/>
          </w:tcPr>
          <w:p w14:paraId="20110D30" w14:textId="77777777" w:rsidR="00AB384D" w:rsidRPr="00AB384D" w:rsidRDefault="00AB384D" w:rsidP="00AB384D">
            <w:pPr>
              <w:spacing w:after="0" w:line="240" w:lineRule="auto"/>
              <w:jc w:val="center"/>
              <w:rPr>
                <w:rFonts w:eastAsia="Times New Roman"/>
                <w:sz w:val="20"/>
                <w:szCs w:val="20"/>
              </w:rPr>
            </w:pPr>
          </w:p>
        </w:tc>
      </w:tr>
      <w:tr w:rsidR="00AB384D" w:rsidRPr="00AB384D" w14:paraId="16294504" w14:textId="77777777" w:rsidTr="00517320">
        <w:trPr>
          <w:trHeight w:val="312"/>
        </w:trPr>
        <w:tc>
          <w:tcPr>
            <w:tcW w:w="1400" w:type="dxa"/>
            <w:vMerge w:val="restart"/>
            <w:shd w:val="clear" w:color="auto" w:fill="auto"/>
            <w:noWrap/>
            <w:vAlign w:val="center"/>
            <w:hideMark/>
          </w:tcPr>
          <w:p w14:paraId="5F90C566"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Post-Institute</w:t>
            </w:r>
          </w:p>
        </w:tc>
        <w:tc>
          <w:tcPr>
            <w:tcW w:w="1300" w:type="dxa"/>
            <w:shd w:val="clear" w:color="auto" w:fill="auto"/>
            <w:noWrap/>
            <w:vAlign w:val="bottom"/>
            <w:hideMark/>
          </w:tcPr>
          <w:p w14:paraId="4FF1BB3C"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Mode</w:t>
            </w:r>
          </w:p>
        </w:tc>
        <w:tc>
          <w:tcPr>
            <w:tcW w:w="1480" w:type="dxa"/>
            <w:shd w:val="clear" w:color="auto" w:fill="auto"/>
            <w:noWrap/>
            <w:vAlign w:val="bottom"/>
            <w:hideMark/>
          </w:tcPr>
          <w:p w14:paraId="07A8DD31" w14:textId="51623DB8" w:rsidR="00AB384D" w:rsidRPr="00AB384D" w:rsidRDefault="00F3074C" w:rsidP="00AB384D">
            <w:pPr>
              <w:spacing w:after="0" w:line="240" w:lineRule="auto"/>
              <w:jc w:val="center"/>
              <w:rPr>
                <w:rFonts w:eastAsia="Times New Roman"/>
                <w:color w:val="000000"/>
              </w:rPr>
            </w:pPr>
            <w:r>
              <w:rPr>
                <w:rFonts w:eastAsia="Times New Roman"/>
                <w:color w:val="000000"/>
              </w:rPr>
              <w:t>3</w:t>
            </w:r>
          </w:p>
        </w:tc>
        <w:tc>
          <w:tcPr>
            <w:tcW w:w="220" w:type="dxa"/>
            <w:shd w:val="clear" w:color="auto" w:fill="auto"/>
            <w:noWrap/>
            <w:vAlign w:val="bottom"/>
            <w:hideMark/>
          </w:tcPr>
          <w:p w14:paraId="743A65F5" w14:textId="77777777" w:rsidR="00AB384D" w:rsidRPr="00AB384D" w:rsidRDefault="00AB384D" w:rsidP="00AB384D">
            <w:pPr>
              <w:spacing w:after="0" w:line="240" w:lineRule="auto"/>
              <w:jc w:val="center"/>
              <w:rPr>
                <w:rFonts w:eastAsia="Times New Roman"/>
                <w:color w:val="000000"/>
              </w:rPr>
            </w:pPr>
          </w:p>
        </w:tc>
        <w:tc>
          <w:tcPr>
            <w:tcW w:w="1400" w:type="dxa"/>
            <w:shd w:val="clear" w:color="auto" w:fill="auto"/>
            <w:noWrap/>
            <w:vAlign w:val="bottom"/>
            <w:hideMark/>
          </w:tcPr>
          <w:p w14:paraId="7F665AF1" w14:textId="6959A89F" w:rsidR="00AB384D" w:rsidRPr="00AB384D" w:rsidRDefault="00F3074C" w:rsidP="00AB384D">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14BBC1F8"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020D08A9" w14:textId="2F34A5B2" w:rsidR="00AB384D" w:rsidRPr="00AB384D" w:rsidRDefault="00F3074C" w:rsidP="00AB384D">
            <w:pPr>
              <w:spacing w:after="0" w:line="240" w:lineRule="auto"/>
              <w:jc w:val="center"/>
              <w:rPr>
                <w:rFonts w:eastAsia="Times New Roman"/>
                <w:color w:val="000000"/>
              </w:rPr>
            </w:pPr>
            <w:r>
              <w:rPr>
                <w:rFonts w:eastAsia="Times New Roman"/>
                <w:color w:val="000000"/>
              </w:rPr>
              <w:t>3</w:t>
            </w:r>
          </w:p>
        </w:tc>
        <w:tc>
          <w:tcPr>
            <w:tcW w:w="220" w:type="dxa"/>
            <w:shd w:val="clear" w:color="auto" w:fill="auto"/>
            <w:noWrap/>
            <w:vAlign w:val="bottom"/>
            <w:hideMark/>
          </w:tcPr>
          <w:p w14:paraId="4911EC66"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4FA6D6F4" w14:textId="5FE25D65" w:rsidR="00AB384D" w:rsidRPr="00AB384D" w:rsidRDefault="00F3074C" w:rsidP="00AB384D">
            <w:pPr>
              <w:spacing w:after="0" w:line="240" w:lineRule="auto"/>
              <w:jc w:val="center"/>
              <w:rPr>
                <w:rFonts w:eastAsia="Times New Roman"/>
                <w:color w:val="000000"/>
              </w:rPr>
            </w:pPr>
            <w:r>
              <w:rPr>
                <w:rFonts w:eastAsia="Times New Roman"/>
                <w:color w:val="000000"/>
              </w:rPr>
              <w:t>3</w:t>
            </w:r>
          </w:p>
        </w:tc>
        <w:tc>
          <w:tcPr>
            <w:tcW w:w="220" w:type="dxa"/>
            <w:shd w:val="clear" w:color="auto" w:fill="auto"/>
            <w:noWrap/>
            <w:vAlign w:val="bottom"/>
            <w:hideMark/>
          </w:tcPr>
          <w:p w14:paraId="4E912D93" w14:textId="77777777" w:rsidR="00AB384D" w:rsidRPr="00AB384D" w:rsidRDefault="00AB384D" w:rsidP="00AB384D">
            <w:pPr>
              <w:spacing w:after="0" w:line="240" w:lineRule="auto"/>
              <w:jc w:val="center"/>
              <w:rPr>
                <w:rFonts w:eastAsia="Times New Roman"/>
                <w:color w:val="000000"/>
              </w:rPr>
            </w:pPr>
          </w:p>
        </w:tc>
        <w:tc>
          <w:tcPr>
            <w:tcW w:w="1320" w:type="dxa"/>
            <w:shd w:val="clear" w:color="auto" w:fill="auto"/>
            <w:noWrap/>
            <w:vAlign w:val="bottom"/>
            <w:hideMark/>
          </w:tcPr>
          <w:p w14:paraId="328E3F90" w14:textId="69425F9B" w:rsidR="00AB384D" w:rsidRPr="00AB384D" w:rsidRDefault="00F3074C" w:rsidP="00AB384D">
            <w:pPr>
              <w:spacing w:after="0" w:line="240" w:lineRule="auto"/>
              <w:jc w:val="center"/>
              <w:rPr>
                <w:rFonts w:eastAsia="Times New Roman"/>
                <w:color w:val="000000"/>
              </w:rPr>
            </w:pPr>
            <w:r>
              <w:rPr>
                <w:rFonts w:eastAsia="Times New Roman"/>
                <w:color w:val="000000"/>
              </w:rPr>
              <w:t>4</w:t>
            </w:r>
          </w:p>
        </w:tc>
      </w:tr>
      <w:tr w:rsidR="00AB384D" w:rsidRPr="00AB384D" w14:paraId="562F776D" w14:textId="77777777" w:rsidTr="00517320">
        <w:trPr>
          <w:trHeight w:val="312"/>
        </w:trPr>
        <w:tc>
          <w:tcPr>
            <w:tcW w:w="1400" w:type="dxa"/>
            <w:vMerge/>
            <w:vAlign w:val="center"/>
            <w:hideMark/>
          </w:tcPr>
          <w:p w14:paraId="48496BCA" w14:textId="77777777" w:rsidR="00AB384D" w:rsidRPr="00AB384D" w:rsidRDefault="00AB384D" w:rsidP="00AB384D">
            <w:pPr>
              <w:spacing w:after="0" w:line="240" w:lineRule="auto"/>
              <w:rPr>
                <w:rFonts w:eastAsia="Times New Roman"/>
                <w:color w:val="000000"/>
              </w:rPr>
            </w:pPr>
          </w:p>
        </w:tc>
        <w:tc>
          <w:tcPr>
            <w:tcW w:w="1300" w:type="dxa"/>
            <w:shd w:val="clear" w:color="auto" w:fill="auto"/>
            <w:noWrap/>
            <w:vAlign w:val="bottom"/>
            <w:hideMark/>
          </w:tcPr>
          <w:p w14:paraId="43B90D35"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Median</w:t>
            </w:r>
          </w:p>
        </w:tc>
        <w:tc>
          <w:tcPr>
            <w:tcW w:w="1480" w:type="dxa"/>
            <w:shd w:val="clear" w:color="auto" w:fill="auto"/>
            <w:noWrap/>
            <w:vAlign w:val="bottom"/>
            <w:hideMark/>
          </w:tcPr>
          <w:p w14:paraId="2D3C8884" w14:textId="5C64B06F" w:rsidR="00AB384D" w:rsidRPr="00AB384D" w:rsidRDefault="00F3074C" w:rsidP="00AB384D">
            <w:pPr>
              <w:spacing w:after="0" w:line="240" w:lineRule="auto"/>
              <w:jc w:val="center"/>
              <w:rPr>
                <w:rFonts w:eastAsia="Times New Roman"/>
                <w:color w:val="000000"/>
              </w:rPr>
            </w:pPr>
            <w:r>
              <w:rPr>
                <w:rFonts w:eastAsia="Times New Roman"/>
                <w:color w:val="000000"/>
              </w:rPr>
              <w:t>3</w:t>
            </w:r>
          </w:p>
        </w:tc>
        <w:tc>
          <w:tcPr>
            <w:tcW w:w="220" w:type="dxa"/>
            <w:shd w:val="clear" w:color="auto" w:fill="auto"/>
            <w:noWrap/>
            <w:vAlign w:val="bottom"/>
            <w:hideMark/>
          </w:tcPr>
          <w:p w14:paraId="064DF6C4" w14:textId="77777777" w:rsidR="00AB384D" w:rsidRPr="00AB384D" w:rsidRDefault="00AB384D" w:rsidP="00AB384D">
            <w:pPr>
              <w:spacing w:after="0" w:line="240" w:lineRule="auto"/>
              <w:jc w:val="center"/>
              <w:rPr>
                <w:rFonts w:eastAsia="Times New Roman"/>
                <w:color w:val="000000"/>
              </w:rPr>
            </w:pPr>
          </w:p>
        </w:tc>
        <w:tc>
          <w:tcPr>
            <w:tcW w:w="1400" w:type="dxa"/>
            <w:shd w:val="clear" w:color="auto" w:fill="auto"/>
            <w:noWrap/>
            <w:vAlign w:val="bottom"/>
            <w:hideMark/>
          </w:tcPr>
          <w:p w14:paraId="78006343" w14:textId="0A796788" w:rsidR="00AB384D" w:rsidRPr="00AB384D" w:rsidRDefault="00F3074C" w:rsidP="00AB384D">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41ED0C08"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3DF37123"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3</w:t>
            </w:r>
          </w:p>
        </w:tc>
        <w:tc>
          <w:tcPr>
            <w:tcW w:w="220" w:type="dxa"/>
            <w:shd w:val="clear" w:color="auto" w:fill="auto"/>
            <w:noWrap/>
            <w:vAlign w:val="bottom"/>
            <w:hideMark/>
          </w:tcPr>
          <w:p w14:paraId="3F482A93" w14:textId="77777777" w:rsidR="00AB384D" w:rsidRPr="00AB384D" w:rsidRDefault="00AB384D" w:rsidP="00AB384D">
            <w:pPr>
              <w:spacing w:after="0" w:line="240" w:lineRule="auto"/>
              <w:jc w:val="center"/>
              <w:rPr>
                <w:rFonts w:eastAsia="Times New Roman"/>
                <w:color w:val="000000"/>
              </w:rPr>
            </w:pPr>
          </w:p>
        </w:tc>
        <w:tc>
          <w:tcPr>
            <w:tcW w:w="1260" w:type="dxa"/>
            <w:shd w:val="clear" w:color="auto" w:fill="auto"/>
            <w:noWrap/>
            <w:vAlign w:val="bottom"/>
            <w:hideMark/>
          </w:tcPr>
          <w:p w14:paraId="4E962198"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3</w:t>
            </w:r>
          </w:p>
        </w:tc>
        <w:tc>
          <w:tcPr>
            <w:tcW w:w="220" w:type="dxa"/>
            <w:shd w:val="clear" w:color="auto" w:fill="auto"/>
            <w:noWrap/>
            <w:vAlign w:val="bottom"/>
            <w:hideMark/>
          </w:tcPr>
          <w:p w14:paraId="7093960A" w14:textId="77777777" w:rsidR="00AB384D" w:rsidRPr="00AB384D" w:rsidRDefault="00AB384D" w:rsidP="00AB384D">
            <w:pPr>
              <w:spacing w:after="0" w:line="240" w:lineRule="auto"/>
              <w:jc w:val="center"/>
              <w:rPr>
                <w:rFonts w:eastAsia="Times New Roman"/>
                <w:color w:val="000000"/>
              </w:rPr>
            </w:pPr>
          </w:p>
        </w:tc>
        <w:tc>
          <w:tcPr>
            <w:tcW w:w="1320" w:type="dxa"/>
            <w:shd w:val="clear" w:color="auto" w:fill="auto"/>
            <w:noWrap/>
            <w:vAlign w:val="bottom"/>
            <w:hideMark/>
          </w:tcPr>
          <w:p w14:paraId="68EFE4F5" w14:textId="77777777" w:rsidR="00AB384D" w:rsidRPr="00AB384D" w:rsidRDefault="00AB384D" w:rsidP="00AB384D">
            <w:pPr>
              <w:spacing w:after="0" w:line="240" w:lineRule="auto"/>
              <w:jc w:val="center"/>
              <w:rPr>
                <w:rFonts w:eastAsia="Times New Roman"/>
                <w:color w:val="000000"/>
              </w:rPr>
            </w:pPr>
            <w:r w:rsidRPr="00AB384D">
              <w:rPr>
                <w:rFonts w:eastAsia="Times New Roman"/>
                <w:color w:val="000000"/>
              </w:rPr>
              <w:t>3</w:t>
            </w:r>
          </w:p>
        </w:tc>
      </w:tr>
    </w:tbl>
    <w:p w14:paraId="5809985C" w14:textId="77D292ED" w:rsidR="0035394E" w:rsidRDefault="004D33DC" w:rsidP="004D33DC">
      <w:r>
        <w:t xml:space="preserve"> </w:t>
      </w:r>
    </w:p>
    <w:p w14:paraId="0D238450" w14:textId="18B0CF50" w:rsidR="004D33DC" w:rsidRDefault="001100B7" w:rsidP="004D33DC">
      <w:r>
        <w:rPr>
          <w:i/>
          <w:color w:val="0000FF"/>
        </w:rPr>
        <w:t>Curriculum</w:t>
      </w:r>
    </w:p>
    <w:p w14:paraId="2697B9D2" w14:textId="658D6AEB" w:rsidR="004D33DC" w:rsidRDefault="004D33DC" w:rsidP="004D33DC">
      <w:r>
        <w:t xml:space="preserve">Table </w:t>
      </w:r>
      <w:r w:rsidR="00E85C7D">
        <w:t>4</w:t>
      </w:r>
      <w:r w:rsidR="006B69D2">
        <w:t xml:space="preserve"> </w:t>
      </w:r>
      <w:r>
        <w:t xml:space="preserve">reports the ratings for teachers’ performance on the four </w:t>
      </w:r>
      <w:r w:rsidR="001100B7">
        <w:t>indicators</w:t>
      </w:r>
      <w:r>
        <w:t xml:space="preserve"> measured under the Curriculum factor. </w:t>
      </w:r>
      <w:r w:rsidR="006B69D2">
        <w:t xml:space="preserve">While teachers improved on all indicators, the most dramatic gains were in “Learner Centrality” and </w:t>
      </w:r>
      <w:r>
        <w:t>“</w:t>
      </w:r>
      <w:r w:rsidR="007748FA">
        <w:t>O</w:t>
      </w:r>
      <w:r>
        <w:t xml:space="preserve">rganizing and </w:t>
      </w:r>
      <w:r w:rsidR="007748FA">
        <w:t>R</w:t>
      </w:r>
      <w:r>
        <w:t xml:space="preserve">ecording </w:t>
      </w:r>
      <w:r w:rsidR="007748FA">
        <w:t>I</w:t>
      </w:r>
      <w:r>
        <w:t>nformation</w:t>
      </w:r>
      <w:r w:rsidR="006B69D2">
        <w:t>.</w:t>
      </w:r>
      <w:r>
        <w:t xml:space="preserve">” </w:t>
      </w:r>
      <w:r w:rsidR="006B69D2">
        <w:t>The increase in “Learner Centrality” suggests that teachers became more flexible in allowing individual students to explore and learn at their own pace as well as design and carry out their own investigations. The “Organizing” indicator reflects that teachers gave students more independence in how they organized and recorded their data and findings (as opposed to prescribing a set way). The result is a more experiential learning experience for the students.</w:t>
      </w:r>
    </w:p>
    <w:p w14:paraId="63393A24" w14:textId="7D4B9514" w:rsidR="006B69D2" w:rsidRPr="006B69D2" w:rsidRDefault="006B69D2" w:rsidP="006B69D2">
      <w:pPr>
        <w:rPr>
          <w:color w:val="0000FF"/>
        </w:rPr>
      </w:pPr>
      <w:r w:rsidRPr="006B69D2">
        <w:rPr>
          <w:i/>
          <w:color w:val="0000FF"/>
        </w:rPr>
        <w:t xml:space="preserve">Table </w:t>
      </w:r>
      <w:r w:rsidR="00E85C7D">
        <w:rPr>
          <w:i/>
          <w:color w:val="0000FF"/>
        </w:rPr>
        <w:t>4</w:t>
      </w:r>
      <w:r w:rsidRPr="006B69D2">
        <w:rPr>
          <w:i/>
          <w:color w:val="0000FF"/>
        </w:rPr>
        <w:t>. Comparison of Cohort 1</w:t>
      </w:r>
      <w:r>
        <w:rPr>
          <w:i/>
          <w:color w:val="0000FF"/>
        </w:rPr>
        <w:t xml:space="preserve"> &amp; 2</w:t>
      </w:r>
      <w:r w:rsidRPr="006B69D2">
        <w:rPr>
          <w:i/>
          <w:color w:val="0000FF"/>
        </w:rPr>
        <w:t xml:space="preserve"> observations scores for Curriculum Factors</w:t>
      </w:r>
    </w:p>
    <w:tbl>
      <w:tblPr>
        <w:tblW w:w="9440" w:type="dxa"/>
        <w:tblBorders>
          <w:insideH w:val="single" w:sz="4" w:space="0" w:color="auto"/>
          <w:insideV w:val="single" w:sz="4" w:space="0" w:color="auto"/>
        </w:tblBorders>
        <w:tblLook w:val="04A0" w:firstRow="1" w:lastRow="0" w:firstColumn="1" w:lastColumn="0" w:noHBand="0" w:noVBand="1"/>
      </w:tblPr>
      <w:tblGrid>
        <w:gridCol w:w="1400"/>
        <w:gridCol w:w="1300"/>
        <w:gridCol w:w="1480"/>
        <w:gridCol w:w="222"/>
        <w:gridCol w:w="1400"/>
        <w:gridCol w:w="222"/>
        <w:gridCol w:w="1500"/>
        <w:gridCol w:w="222"/>
        <w:gridCol w:w="1700"/>
      </w:tblGrid>
      <w:tr w:rsidR="006B69D2" w:rsidRPr="00E63F88" w14:paraId="0F63DF81" w14:textId="77777777" w:rsidTr="00517320">
        <w:trPr>
          <w:trHeight w:val="936"/>
        </w:trPr>
        <w:tc>
          <w:tcPr>
            <w:tcW w:w="1400" w:type="dxa"/>
            <w:shd w:val="clear" w:color="auto" w:fill="auto"/>
            <w:noWrap/>
            <w:vAlign w:val="bottom"/>
            <w:hideMark/>
          </w:tcPr>
          <w:p w14:paraId="2578691F" w14:textId="77777777" w:rsidR="006B69D2" w:rsidRPr="00E63F88" w:rsidRDefault="006B69D2" w:rsidP="00C829D2">
            <w:pPr>
              <w:spacing w:after="0" w:line="240" w:lineRule="auto"/>
              <w:rPr>
                <w:rFonts w:eastAsia="Times New Roman"/>
              </w:rPr>
            </w:pPr>
          </w:p>
        </w:tc>
        <w:tc>
          <w:tcPr>
            <w:tcW w:w="1300" w:type="dxa"/>
            <w:shd w:val="clear" w:color="auto" w:fill="auto"/>
            <w:noWrap/>
            <w:vAlign w:val="bottom"/>
            <w:hideMark/>
          </w:tcPr>
          <w:p w14:paraId="17658F46" w14:textId="77777777" w:rsidR="006B69D2" w:rsidRPr="00E63F88" w:rsidRDefault="006B69D2" w:rsidP="00C829D2">
            <w:pPr>
              <w:spacing w:after="0" w:line="240" w:lineRule="auto"/>
              <w:rPr>
                <w:rFonts w:eastAsia="Times New Roman"/>
                <w:sz w:val="20"/>
                <w:szCs w:val="20"/>
              </w:rPr>
            </w:pPr>
          </w:p>
        </w:tc>
        <w:tc>
          <w:tcPr>
            <w:tcW w:w="1480" w:type="dxa"/>
            <w:shd w:val="clear" w:color="auto" w:fill="auto"/>
            <w:vAlign w:val="bottom"/>
            <w:hideMark/>
          </w:tcPr>
          <w:p w14:paraId="2E362F12" w14:textId="77777777" w:rsidR="006B69D2" w:rsidRPr="00CE6F92" w:rsidRDefault="006B69D2" w:rsidP="00C829D2">
            <w:pPr>
              <w:spacing w:after="0" w:line="240" w:lineRule="auto"/>
              <w:jc w:val="center"/>
              <w:rPr>
                <w:color w:val="3514DC"/>
              </w:rPr>
            </w:pPr>
            <w:r w:rsidRPr="00CE6F92">
              <w:rPr>
                <w:color w:val="3514DC"/>
              </w:rPr>
              <w:t>Content Depth</w:t>
            </w:r>
          </w:p>
        </w:tc>
        <w:tc>
          <w:tcPr>
            <w:tcW w:w="220" w:type="dxa"/>
            <w:shd w:val="clear" w:color="auto" w:fill="auto"/>
            <w:noWrap/>
            <w:vAlign w:val="bottom"/>
            <w:hideMark/>
          </w:tcPr>
          <w:p w14:paraId="6FB899AE" w14:textId="77777777" w:rsidR="006B69D2" w:rsidRPr="00CE6F92" w:rsidRDefault="006B69D2" w:rsidP="00C829D2">
            <w:pPr>
              <w:spacing w:after="0" w:line="240" w:lineRule="auto"/>
              <w:jc w:val="center"/>
              <w:rPr>
                <w:color w:val="3514DC"/>
              </w:rPr>
            </w:pPr>
          </w:p>
        </w:tc>
        <w:tc>
          <w:tcPr>
            <w:tcW w:w="1400" w:type="dxa"/>
            <w:shd w:val="clear" w:color="auto" w:fill="auto"/>
            <w:vAlign w:val="bottom"/>
            <w:hideMark/>
          </w:tcPr>
          <w:p w14:paraId="17ECA7BE" w14:textId="77777777" w:rsidR="006B69D2" w:rsidRPr="00CE6F92" w:rsidRDefault="006B69D2" w:rsidP="00C829D2">
            <w:pPr>
              <w:spacing w:after="0" w:line="240" w:lineRule="auto"/>
              <w:jc w:val="center"/>
              <w:rPr>
                <w:color w:val="3514DC"/>
              </w:rPr>
            </w:pPr>
            <w:r w:rsidRPr="00CE6F92">
              <w:rPr>
                <w:color w:val="3514DC"/>
              </w:rPr>
              <w:t>Learner Centrality</w:t>
            </w:r>
          </w:p>
        </w:tc>
        <w:tc>
          <w:tcPr>
            <w:tcW w:w="220" w:type="dxa"/>
            <w:shd w:val="clear" w:color="auto" w:fill="auto"/>
            <w:noWrap/>
            <w:vAlign w:val="bottom"/>
            <w:hideMark/>
          </w:tcPr>
          <w:p w14:paraId="6CEBDD7E" w14:textId="77777777" w:rsidR="006B69D2" w:rsidRPr="00CE6F92" w:rsidRDefault="006B69D2" w:rsidP="00C829D2">
            <w:pPr>
              <w:spacing w:after="0" w:line="240" w:lineRule="auto"/>
              <w:jc w:val="center"/>
              <w:rPr>
                <w:color w:val="3514DC"/>
              </w:rPr>
            </w:pPr>
          </w:p>
        </w:tc>
        <w:tc>
          <w:tcPr>
            <w:tcW w:w="1500" w:type="dxa"/>
            <w:shd w:val="clear" w:color="auto" w:fill="auto"/>
            <w:vAlign w:val="bottom"/>
            <w:hideMark/>
          </w:tcPr>
          <w:p w14:paraId="2F9D10D4" w14:textId="77777777" w:rsidR="006B69D2" w:rsidRPr="00CE6F92" w:rsidRDefault="006B69D2" w:rsidP="00C829D2">
            <w:pPr>
              <w:spacing w:after="0" w:line="240" w:lineRule="auto"/>
              <w:jc w:val="center"/>
              <w:rPr>
                <w:color w:val="3514DC"/>
              </w:rPr>
            </w:pPr>
            <w:r w:rsidRPr="00CE6F92">
              <w:rPr>
                <w:color w:val="3514DC"/>
              </w:rPr>
              <w:t>Content -Investigation Integration</w:t>
            </w:r>
          </w:p>
        </w:tc>
        <w:tc>
          <w:tcPr>
            <w:tcW w:w="220" w:type="dxa"/>
            <w:shd w:val="clear" w:color="auto" w:fill="auto"/>
            <w:noWrap/>
            <w:vAlign w:val="bottom"/>
            <w:hideMark/>
          </w:tcPr>
          <w:p w14:paraId="379B57C7" w14:textId="77777777" w:rsidR="006B69D2" w:rsidRPr="00CE6F92" w:rsidRDefault="006B69D2" w:rsidP="00C829D2">
            <w:pPr>
              <w:spacing w:after="0" w:line="240" w:lineRule="auto"/>
              <w:jc w:val="center"/>
              <w:rPr>
                <w:color w:val="3514DC"/>
              </w:rPr>
            </w:pPr>
          </w:p>
        </w:tc>
        <w:tc>
          <w:tcPr>
            <w:tcW w:w="1700" w:type="dxa"/>
            <w:shd w:val="clear" w:color="auto" w:fill="auto"/>
            <w:vAlign w:val="bottom"/>
            <w:hideMark/>
          </w:tcPr>
          <w:p w14:paraId="5D834110" w14:textId="77777777" w:rsidR="006B69D2" w:rsidRPr="00CE6F92" w:rsidRDefault="006B69D2" w:rsidP="00C829D2">
            <w:pPr>
              <w:spacing w:after="0" w:line="240" w:lineRule="auto"/>
              <w:jc w:val="center"/>
              <w:rPr>
                <w:color w:val="3514DC"/>
              </w:rPr>
            </w:pPr>
            <w:r w:rsidRPr="00CE6F92">
              <w:rPr>
                <w:color w:val="3514DC"/>
              </w:rPr>
              <w:t>Organizing and Recording Information</w:t>
            </w:r>
          </w:p>
        </w:tc>
      </w:tr>
      <w:tr w:rsidR="006B69D2" w:rsidRPr="00E63F88" w14:paraId="2CD28691" w14:textId="77777777" w:rsidTr="00517320">
        <w:trPr>
          <w:trHeight w:val="120"/>
        </w:trPr>
        <w:tc>
          <w:tcPr>
            <w:tcW w:w="1400" w:type="dxa"/>
            <w:shd w:val="clear" w:color="auto" w:fill="auto"/>
            <w:noWrap/>
            <w:vAlign w:val="bottom"/>
            <w:hideMark/>
          </w:tcPr>
          <w:p w14:paraId="0581FF6E" w14:textId="77777777" w:rsidR="006B69D2" w:rsidRPr="00E63F88" w:rsidRDefault="006B69D2" w:rsidP="00C829D2">
            <w:pPr>
              <w:spacing w:after="0" w:line="240" w:lineRule="auto"/>
              <w:jc w:val="center"/>
              <w:rPr>
                <w:rFonts w:eastAsia="Times New Roman"/>
                <w:color w:val="000000"/>
              </w:rPr>
            </w:pPr>
          </w:p>
        </w:tc>
        <w:tc>
          <w:tcPr>
            <w:tcW w:w="1300" w:type="dxa"/>
            <w:shd w:val="clear" w:color="auto" w:fill="auto"/>
            <w:noWrap/>
            <w:vAlign w:val="bottom"/>
            <w:hideMark/>
          </w:tcPr>
          <w:p w14:paraId="6730CED7" w14:textId="77777777" w:rsidR="006B69D2" w:rsidRPr="00E63F88" w:rsidRDefault="006B69D2" w:rsidP="00C829D2">
            <w:pPr>
              <w:spacing w:after="0" w:line="240" w:lineRule="auto"/>
              <w:rPr>
                <w:rFonts w:eastAsia="Times New Roman"/>
                <w:sz w:val="20"/>
                <w:szCs w:val="20"/>
              </w:rPr>
            </w:pPr>
          </w:p>
        </w:tc>
        <w:tc>
          <w:tcPr>
            <w:tcW w:w="1480" w:type="dxa"/>
            <w:shd w:val="clear" w:color="auto" w:fill="auto"/>
            <w:noWrap/>
            <w:vAlign w:val="bottom"/>
            <w:hideMark/>
          </w:tcPr>
          <w:p w14:paraId="567BEA91" w14:textId="77777777" w:rsidR="006B69D2" w:rsidRPr="00E63F88" w:rsidRDefault="006B69D2" w:rsidP="00C829D2">
            <w:pPr>
              <w:spacing w:after="0" w:line="240" w:lineRule="auto"/>
              <w:rPr>
                <w:rFonts w:eastAsia="Times New Roman"/>
                <w:sz w:val="20"/>
                <w:szCs w:val="20"/>
              </w:rPr>
            </w:pPr>
          </w:p>
        </w:tc>
        <w:tc>
          <w:tcPr>
            <w:tcW w:w="220" w:type="dxa"/>
            <w:shd w:val="clear" w:color="auto" w:fill="auto"/>
            <w:noWrap/>
            <w:vAlign w:val="bottom"/>
            <w:hideMark/>
          </w:tcPr>
          <w:p w14:paraId="6AE29C0F" w14:textId="77777777" w:rsidR="006B69D2" w:rsidRPr="00E63F88" w:rsidRDefault="006B69D2" w:rsidP="00C829D2">
            <w:pPr>
              <w:spacing w:after="0" w:line="240" w:lineRule="auto"/>
              <w:rPr>
                <w:rFonts w:eastAsia="Times New Roman"/>
                <w:sz w:val="20"/>
                <w:szCs w:val="20"/>
              </w:rPr>
            </w:pPr>
          </w:p>
        </w:tc>
        <w:tc>
          <w:tcPr>
            <w:tcW w:w="1400" w:type="dxa"/>
            <w:shd w:val="clear" w:color="auto" w:fill="auto"/>
            <w:noWrap/>
            <w:vAlign w:val="bottom"/>
            <w:hideMark/>
          </w:tcPr>
          <w:p w14:paraId="1289CE0F" w14:textId="77777777" w:rsidR="006B69D2" w:rsidRPr="00E63F88" w:rsidRDefault="006B69D2" w:rsidP="00C829D2">
            <w:pPr>
              <w:spacing w:after="0" w:line="240" w:lineRule="auto"/>
              <w:rPr>
                <w:rFonts w:eastAsia="Times New Roman"/>
                <w:sz w:val="20"/>
                <w:szCs w:val="20"/>
              </w:rPr>
            </w:pPr>
          </w:p>
        </w:tc>
        <w:tc>
          <w:tcPr>
            <w:tcW w:w="220" w:type="dxa"/>
            <w:shd w:val="clear" w:color="auto" w:fill="auto"/>
            <w:noWrap/>
            <w:vAlign w:val="bottom"/>
            <w:hideMark/>
          </w:tcPr>
          <w:p w14:paraId="4BB2CA6C" w14:textId="77777777" w:rsidR="006B69D2" w:rsidRPr="00E63F88" w:rsidRDefault="006B69D2" w:rsidP="00C829D2">
            <w:pPr>
              <w:spacing w:after="0" w:line="240" w:lineRule="auto"/>
              <w:rPr>
                <w:rFonts w:eastAsia="Times New Roman"/>
                <w:sz w:val="20"/>
                <w:szCs w:val="20"/>
              </w:rPr>
            </w:pPr>
          </w:p>
        </w:tc>
        <w:tc>
          <w:tcPr>
            <w:tcW w:w="1500" w:type="dxa"/>
            <w:shd w:val="clear" w:color="auto" w:fill="auto"/>
            <w:noWrap/>
            <w:vAlign w:val="bottom"/>
            <w:hideMark/>
          </w:tcPr>
          <w:p w14:paraId="250C7B2F" w14:textId="77777777" w:rsidR="006B69D2" w:rsidRPr="00E63F88" w:rsidRDefault="006B69D2" w:rsidP="00C829D2">
            <w:pPr>
              <w:spacing w:after="0" w:line="240" w:lineRule="auto"/>
              <w:rPr>
                <w:rFonts w:eastAsia="Times New Roman"/>
                <w:sz w:val="20"/>
                <w:szCs w:val="20"/>
              </w:rPr>
            </w:pPr>
          </w:p>
        </w:tc>
        <w:tc>
          <w:tcPr>
            <w:tcW w:w="220" w:type="dxa"/>
            <w:shd w:val="clear" w:color="auto" w:fill="auto"/>
            <w:noWrap/>
            <w:vAlign w:val="bottom"/>
            <w:hideMark/>
          </w:tcPr>
          <w:p w14:paraId="6ADE8DC4" w14:textId="77777777" w:rsidR="006B69D2" w:rsidRPr="00E63F88" w:rsidRDefault="006B69D2" w:rsidP="00C829D2">
            <w:pPr>
              <w:spacing w:after="0" w:line="240" w:lineRule="auto"/>
              <w:rPr>
                <w:rFonts w:eastAsia="Times New Roman"/>
                <w:sz w:val="20"/>
                <w:szCs w:val="20"/>
              </w:rPr>
            </w:pPr>
          </w:p>
        </w:tc>
        <w:tc>
          <w:tcPr>
            <w:tcW w:w="1700" w:type="dxa"/>
            <w:shd w:val="clear" w:color="auto" w:fill="auto"/>
            <w:noWrap/>
            <w:vAlign w:val="bottom"/>
            <w:hideMark/>
          </w:tcPr>
          <w:p w14:paraId="76F19448" w14:textId="77777777" w:rsidR="006B69D2" w:rsidRPr="00E63F88" w:rsidRDefault="006B69D2" w:rsidP="00C829D2">
            <w:pPr>
              <w:spacing w:after="0" w:line="240" w:lineRule="auto"/>
              <w:rPr>
                <w:rFonts w:eastAsia="Times New Roman"/>
                <w:sz w:val="20"/>
                <w:szCs w:val="20"/>
              </w:rPr>
            </w:pPr>
          </w:p>
        </w:tc>
      </w:tr>
      <w:tr w:rsidR="006B69D2" w:rsidRPr="00E63F88" w14:paraId="1DC0A669" w14:textId="77777777" w:rsidTr="00517320">
        <w:trPr>
          <w:trHeight w:val="312"/>
        </w:trPr>
        <w:tc>
          <w:tcPr>
            <w:tcW w:w="1400" w:type="dxa"/>
            <w:vMerge w:val="restart"/>
            <w:shd w:val="clear" w:color="auto" w:fill="auto"/>
            <w:noWrap/>
            <w:vAlign w:val="center"/>
            <w:hideMark/>
          </w:tcPr>
          <w:p w14:paraId="23813E9F"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Pre-Institute</w:t>
            </w:r>
          </w:p>
        </w:tc>
        <w:tc>
          <w:tcPr>
            <w:tcW w:w="1300" w:type="dxa"/>
            <w:shd w:val="clear" w:color="auto" w:fill="auto"/>
            <w:noWrap/>
            <w:vAlign w:val="center"/>
            <w:hideMark/>
          </w:tcPr>
          <w:p w14:paraId="304C1A5A"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Mode</w:t>
            </w:r>
          </w:p>
        </w:tc>
        <w:tc>
          <w:tcPr>
            <w:tcW w:w="1480" w:type="dxa"/>
            <w:shd w:val="clear" w:color="auto" w:fill="auto"/>
            <w:noWrap/>
            <w:vAlign w:val="bottom"/>
            <w:hideMark/>
          </w:tcPr>
          <w:p w14:paraId="729BB832"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c>
          <w:tcPr>
            <w:tcW w:w="220" w:type="dxa"/>
            <w:shd w:val="clear" w:color="auto" w:fill="auto"/>
            <w:noWrap/>
            <w:vAlign w:val="bottom"/>
            <w:hideMark/>
          </w:tcPr>
          <w:p w14:paraId="5AF65DA2" w14:textId="77777777" w:rsidR="006B69D2" w:rsidRPr="00E63F88" w:rsidRDefault="006B69D2" w:rsidP="00C829D2">
            <w:pPr>
              <w:spacing w:after="0" w:line="240" w:lineRule="auto"/>
              <w:jc w:val="center"/>
              <w:rPr>
                <w:rFonts w:eastAsia="Times New Roman"/>
                <w:color w:val="000000"/>
              </w:rPr>
            </w:pPr>
          </w:p>
        </w:tc>
        <w:tc>
          <w:tcPr>
            <w:tcW w:w="1400" w:type="dxa"/>
            <w:shd w:val="clear" w:color="auto" w:fill="auto"/>
            <w:noWrap/>
            <w:vAlign w:val="bottom"/>
            <w:hideMark/>
          </w:tcPr>
          <w:p w14:paraId="3872F947"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2</w:t>
            </w:r>
          </w:p>
        </w:tc>
        <w:tc>
          <w:tcPr>
            <w:tcW w:w="220" w:type="dxa"/>
            <w:shd w:val="clear" w:color="auto" w:fill="auto"/>
            <w:noWrap/>
            <w:vAlign w:val="bottom"/>
            <w:hideMark/>
          </w:tcPr>
          <w:p w14:paraId="2DD1E213" w14:textId="77777777" w:rsidR="006B69D2" w:rsidRPr="00E63F88" w:rsidRDefault="006B69D2" w:rsidP="00C829D2">
            <w:pPr>
              <w:spacing w:after="0" w:line="240" w:lineRule="auto"/>
              <w:jc w:val="center"/>
              <w:rPr>
                <w:rFonts w:eastAsia="Times New Roman"/>
                <w:color w:val="000000"/>
              </w:rPr>
            </w:pPr>
          </w:p>
        </w:tc>
        <w:tc>
          <w:tcPr>
            <w:tcW w:w="1500" w:type="dxa"/>
            <w:shd w:val="clear" w:color="auto" w:fill="auto"/>
            <w:noWrap/>
            <w:vAlign w:val="bottom"/>
            <w:hideMark/>
          </w:tcPr>
          <w:p w14:paraId="67DABF1A"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c>
          <w:tcPr>
            <w:tcW w:w="220" w:type="dxa"/>
            <w:shd w:val="clear" w:color="auto" w:fill="auto"/>
            <w:noWrap/>
            <w:vAlign w:val="bottom"/>
            <w:hideMark/>
          </w:tcPr>
          <w:p w14:paraId="4DE23E3B" w14:textId="77777777" w:rsidR="006B69D2" w:rsidRPr="00E63F88" w:rsidRDefault="006B69D2" w:rsidP="00C829D2">
            <w:pPr>
              <w:spacing w:after="0" w:line="240" w:lineRule="auto"/>
              <w:jc w:val="center"/>
              <w:rPr>
                <w:rFonts w:eastAsia="Times New Roman"/>
                <w:color w:val="000000"/>
              </w:rPr>
            </w:pPr>
          </w:p>
        </w:tc>
        <w:tc>
          <w:tcPr>
            <w:tcW w:w="1700" w:type="dxa"/>
            <w:shd w:val="clear" w:color="auto" w:fill="auto"/>
            <w:noWrap/>
            <w:vAlign w:val="bottom"/>
            <w:hideMark/>
          </w:tcPr>
          <w:p w14:paraId="7B7A4BF3" w14:textId="04B4876F" w:rsidR="006B69D2" w:rsidRPr="00E63F88" w:rsidRDefault="006B69D2" w:rsidP="00C829D2">
            <w:pPr>
              <w:spacing w:after="0" w:line="240" w:lineRule="auto"/>
              <w:jc w:val="center"/>
              <w:rPr>
                <w:rFonts w:eastAsia="Times New Roman"/>
                <w:color w:val="000000"/>
              </w:rPr>
            </w:pPr>
            <w:r>
              <w:rPr>
                <w:rFonts w:eastAsia="Times New Roman"/>
                <w:color w:val="000000"/>
              </w:rPr>
              <w:t>1</w:t>
            </w:r>
          </w:p>
        </w:tc>
      </w:tr>
      <w:tr w:rsidR="006B69D2" w:rsidRPr="00E63F88" w14:paraId="19F15668" w14:textId="77777777" w:rsidTr="00517320">
        <w:trPr>
          <w:trHeight w:val="312"/>
        </w:trPr>
        <w:tc>
          <w:tcPr>
            <w:tcW w:w="1400" w:type="dxa"/>
            <w:vMerge/>
            <w:vAlign w:val="center"/>
            <w:hideMark/>
          </w:tcPr>
          <w:p w14:paraId="02BCCAD0" w14:textId="77777777" w:rsidR="006B69D2" w:rsidRPr="00E63F88" w:rsidRDefault="006B69D2" w:rsidP="00C829D2">
            <w:pPr>
              <w:spacing w:after="0" w:line="240" w:lineRule="auto"/>
              <w:rPr>
                <w:rFonts w:eastAsia="Times New Roman"/>
                <w:color w:val="000000"/>
              </w:rPr>
            </w:pPr>
          </w:p>
        </w:tc>
        <w:tc>
          <w:tcPr>
            <w:tcW w:w="1300" w:type="dxa"/>
            <w:shd w:val="clear" w:color="auto" w:fill="auto"/>
            <w:noWrap/>
            <w:vAlign w:val="center"/>
            <w:hideMark/>
          </w:tcPr>
          <w:p w14:paraId="1FBD37AD"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Median</w:t>
            </w:r>
          </w:p>
        </w:tc>
        <w:tc>
          <w:tcPr>
            <w:tcW w:w="1480" w:type="dxa"/>
            <w:shd w:val="clear" w:color="auto" w:fill="auto"/>
            <w:noWrap/>
            <w:vAlign w:val="bottom"/>
            <w:hideMark/>
          </w:tcPr>
          <w:p w14:paraId="390D9E79"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c>
          <w:tcPr>
            <w:tcW w:w="220" w:type="dxa"/>
            <w:shd w:val="clear" w:color="auto" w:fill="auto"/>
            <w:noWrap/>
            <w:vAlign w:val="bottom"/>
            <w:hideMark/>
          </w:tcPr>
          <w:p w14:paraId="5A856265" w14:textId="77777777" w:rsidR="006B69D2" w:rsidRPr="00E63F88" w:rsidRDefault="006B69D2" w:rsidP="00C829D2">
            <w:pPr>
              <w:spacing w:after="0" w:line="240" w:lineRule="auto"/>
              <w:jc w:val="center"/>
              <w:rPr>
                <w:rFonts w:eastAsia="Times New Roman"/>
                <w:color w:val="000000"/>
              </w:rPr>
            </w:pPr>
          </w:p>
        </w:tc>
        <w:tc>
          <w:tcPr>
            <w:tcW w:w="1400" w:type="dxa"/>
            <w:shd w:val="clear" w:color="auto" w:fill="auto"/>
            <w:noWrap/>
            <w:vAlign w:val="bottom"/>
            <w:hideMark/>
          </w:tcPr>
          <w:p w14:paraId="4A1C9FBF"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2</w:t>
            </w:r>
          </w:p>
        </w:tc>
        <w:tc>
          <w:tcPr>
            <w:tcW w:w="220" w:type="dxa"/>
            <w:shd w:val="clear" w:color="auto" w:fill="auto"/>
            <w:noWrap/>
            <w:vAlign w:val="bottom"/>
            <w:hideMark/>
          </w:tcPr>
          <w:p w14:paraId="4729412C" w14:textId="77777777" w:rsidR="006B69D2" w:rsidRPr="00E63F88" w:rsidRDefault="006B69D2" w:rsidP="00C829D2">
            <w:pPr>
              <w:spacing w:after="0" w:line="240" w:lineRule="auto"/>
              <w:jc w:val="center"/>
              <w:rPr>
                <w:rFonts w:eastAsia="Times New Roman"/>
                <w:color w:val="000000"/>
              </w:rPr>
            </w:pPr>
          </w:p>
        </w:tc>
        <w:tc>
          <w:tcPr>
            <w:tcW w:w="1500" w:type="dxa"/>
            <w:shd w:val="clear" w:color="auto" w:fill="auto"/>
            <w:noWrap/>
            <w:vAlign w:val="bottom"/>
            <w:hideMark/>
          </w:tcPr>
          <w:p w14:paraId="14B60636"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c>
          <w:tcPr>
            <w:tcW w:w="220" w:type="dxa"/>
            <w:shd w:val="clear" w:color="auto" w:fill="auto"/>
            <w:noWrap/>
            <w:vAlign w:val="bottom"/>
            <w:hideMark/>
          </w:tcPr>
          <w:p w14:paraId="2618F533" w14:textId="77777777" w:rsidR="006B69D2" w:rsidRPr="00E63F88" w:rsidRDefault="006B69D2" w:rsidP="00C829D2">
            <w:pPr>
              <w:spacing w:after="0" w:line="240" w:lineRule="auto"/>
              <w:jc w:val="center"/>
              <w:rPr>
                <w:rFonts w:eastAsia="Times New Roman"/>
                <w:color w:val="000000"/>
              </w:rPr>
            </w:pPr>
          </w:p>
        </w:tc>
        <w:tc>
          <w:tcPr>
            <w:tcW w:w="1700" w:type="dxa"/>
            <w:shd w:val="clear" w:color="auto" w:fill="auto"/>
            <w:noWrap/>
            <w:vAlign w:val="bottom"/>
            <w:hideMark/>
          </w:tcPr>
          <w:p w14:paraId="2683661E" w14:textId="1CBC69F2" w:rsidR="006B69D2" w:rsidRPr="00E63F88" w:rsidRDefault="006B69D2" w:rsidP="00C829D2">
            <w:pPr>
              <w:spacing w:after="0" w:line="240" w:lineRule="auto"/>
              <w:jc w:val="center"/>
              <w:rPr>
                <w:rFonts w:eastAsia="Times New Roman"/>
                <w:color w:val="000000"/>
              </w:rPr>
            </w:pPr>
            <w:r w:rsidRPr="00E63F88">
              <w:rPr>
                <w:rFonts w:eastAsia="Times New Roman"/>
                <w:color w:val="000000"/>
              </w:rPr>
              <w:t>2</w:t>
            </w:r>
          </w:p>
        </w:tc>
      </w:tr>
      <w:tr w:rsidR="006B69D2" w:rsidRPr="00E63F88" w14:paraId="5EAA0A04" w14:textId="77777777" w:rsidTr="00517320">
        <w:trPr>
          <w:trHeight w:val="312"/>
        </w:trPr>
        <w:tc>
          <w:tcPr>
            <w:tcW w:w="1400" w:type="dxa"/>
            <w:shd w:val="clear" w:color="auto" w:fill="auto"/>
            <w:noWrap/>
            <w:vAlign w:val="bottom"/>
            <w:hideMark/>
          </w:tcPr>
          <w:p w14:paraId="5A8C8E86" w14:textId="77777777" w:rsidR="006B69D2" w:rsidRPr="00E63F88" w:rsidRDefault="006B69D2" w:rsidP="00C829D2">
            <w:pPr>
              <w:spacing w:after="0" w:line="240" w:lineRule="auto"/>
              <w:jc w:val="center"/>
              <w:rPr>
                <w:rFonts w:eastAsia="Times New Roman"/>
                <w:color w:val="000000"/>
              </w:rPr>
            </w:pPr>
          </w:p>
        </w:tc>
        <w:tc>
          <w:tcPr>
            <w:tcW w:w="1300" w:type="dxa"/>
            <w:shd w:val="clear" w:color="auto" w:fill="auto"/>
            <w:noWrap/>
            <w:vAlign w:val="bottom"/>
            <w:hideMark/>
          </w:tcPr>
          <w:p w14:paraId="5D44941A" w14:textId="77777777" w:rsidR="006B69D2" w:rsidRPr="00E63F88" w:rsidRDefault="006B69D2" w:rsidP="00C829D2">
            <w:pPr>
              <w:spacing w:after="0" w:line="240" w:lineRule="auto"/>
              <w:rPr>
                <w:rFonts w:eastAsia="Times New Roman"/>
                <w:sz w:val="20"/>
                <w:szCs w:val="20"/>
              </w:rPr>
            </w:pPr>
          </w:p>
        </w:tc>
        <w:tc>
          <w:tcPr>
            <w:tcW w:w="1480" w:type="dxa"/>
            <w:shd w:val="clear" w:color="auto" w:fill="auto"/>
            <w:noWrap/>
            <w:vAlign w:val="bottom"/>
            <w:hideMark/>
          </w:tcPr>
          <w:p w14:paraId="2AF29917" w14:textId="77777777" w:rsidR="006B69D2" w:rsidRPr="00E63F88" w:rsidRDefault="006B69D2" w:rsidP="00C829D2">
            <w:pPr>
              <w:spacing w:after="0" w:line="240" w:lineRule="auto"/>
              <w:rPr>
                <w:rFonts w:eastAsia="Times New Roman"/>
                <w:sz w:val="20"/>
                <w:szCs w:val="20"/>
              </w:rPr>
            </w:pPr>
          </w:p>
        </w:tc>
        <w:tc>
          <w:tcPr>
            <w:tcW w:w="220" w:type="dxa"/>
            <w:shd w:val="clear" w:color="auto" w:fill="auto"/>
            <w:noWrap/>
            <w:vAlign w:val="bottom"/>
            <w:hideMark/>
          </w:tcPr>
          <w:p w14:paraId="37E7D38F" w14:textId="77777777" w:rsidR="006B69D2" w:rsidRPr="00E63F88" w:rsidRDefault="006B69D2" w:rsidP="00C829D2">
            <w:pPr>
              <w:spacing w:after="0" w:line="240" w:lineRule="auto"/>
              <w:jc w:val="center"/>
              <w:rPr>
                <w:rFonts w:eastAsia="Times New Roman"/>
                <w:sz w:val="20"/>
                <w:szCs w:val="20"/>
              </w:rPr>
            </w:pPr>
          </w:p>
        </w:tc>
        <w:tc>
          <w:tcPr>
            <w:tcW w:w="1400" w:type="dxa"/>
            <w:shd w:val="clear" w:color="auto" w:fill="auto"/>
            <w:noWrap/>
            <w:vAlign w:val="bottom"/>
            <w:hideMark/>
          </w:tcPr>
          <w:p w14:paraId="53ABE45F" w14:textId="77777777" w:rsidR="006B69D2" w:rsidRPr="00E63F88" w:rsidRDefault="006B69D2" w:rsidP="00C829D2">
            <w:pPr>
              <w:spacing w:after="0" w:line="240" w:lineRule="auto"/>
              <w:jc w:val="center"/>
              <w:rPr>
                <w:rFonts w:eastAsia="Times New Roman"/>
                <w:sz w:val="20"/>
                <w:szCs w:val="20"/>
              </w:rPr>
            </w:pPr>
          </w:p>
        </w:tc>
        <w:tc>
          <w:tcPr>
            <w:tcW w:w="220" w:type="dxa"/>
            <w:shd w:val="clear" w:color="auto" w:fill="auto"/>
            <w:noWrap/>
            <w:vAlign w:val="bottom"/>
            <w:hideMark/>
          </w:tcPr>
          <w:p w14:paraId="0464FF09" w14:textId="77777777" w:rsidR="006B69D2" w:rsidRPr="00E63F88" w:rsidRDefault="006B69D2" w:rsidP="00C829D2">
            <w:pPr>
              <w:spacing w:after="0" w:line="240" w:lineRule="auto"/>
              <w:jc w:val="center"/>
              <w:rPr>
                <w:rFonts w:eastAsia="Times New Roman"/>
                <w:sz w:val="20"/>
                <w:szCs w:val="20"/>
              </w:rPr>
            </w:pPr>
          </w:p>
        </w:tc>
        <w:tc>
          <w:tcPr>
            <w:tcW w:w="1500" w:type="dxa"/>
            <w:shd w:val="clear" w:color="auto" w:fill="auto"/>
            <w:noWrap/>
            <w:vAlign w:val="bottom"/>
            <w:hideMark/>
          </w:tcPr>
          <w:p w14:paraId="3198ACAD" w14:textId="77777777" w:rsidR="006B69D2" w:rsidRPr="00E63F88" w:rsidRDefault="006B69D2" w:rsidP="00C829D2">
            <w:pPr>
              <w:spacing w:after="0" w:line="240" w:lineRule="auto"/>
              <w:jc w:val="center"/>
              <w:rPr>
                <w:rFonts w:eastAsia="Times New Roman"/>
                <w:sz w:val="20"/>
                <w:szCs w:val="20"/>
              </w:rPr>
            </w:pPr>
          </w:p>
        </w:tc>
        <w:tc>
          <w:tcPr>
            <w:tcW w:w="220" w:type="dxa"/>
            <w:shd w:val="clear" w:color="auto" w:fill="auto"/>
            <w:noWrap/>
            <w:vAlign w:val="bottom"/>
            <w:hideMark/>
          </w:tcPr>
          <w:p w14:paraId="4925295C" w14:textId="77777777" w:rsidR="006B69D2" w:rsidRPr="00E63F88" w:rsidRDefault="006B69D2" w:rsidP="00C829D2">
            <w:pPr>
              <w:spacing w:after="0" w:line="240" w:lineRule="auto"/>
              <w:jc w:val="center"/>
              <w:rPr>
                <w:rFonts w:eastAsia="Times New Roman"/>
                <w:sz w:val="20"/>
                <w:szCs w:val="20"/>
              </w:rPr>
            </w:pPr>
          </w:p>
        </w:tc>
        <w:tc>
          <w:tcPr>
            <w:tcW w:w="1700" w:type="dxa"/>
            <w:shd w:val="clear" w:color="auto" w:fill="auto"/>
            <w:noWrap/>
            <w:vAlign w:val="bottom"/>
            <w:hideMark/>
          </w:tcPr>
          <w:p w14:paraId="31B09753" w14:textId="77777777" w:rsidR="006B69D2" w:rsidRPr="00E63F88" w:rsidRDefault="006B69D2" w:rsidP="00C829D2">
            <w:pPr>
              <w:spacing w:after="0" w:line="240" w:lineRule="auto"/>
              <w:jc w:val="center"/>
              <w:rPr>
                <w:rFonts w:eastAsia="Times New Roman"/>
                <w:sz w:val="20"/>
                <w:szCs w:val="20"/>
              </w:rPr>
            </w:pPr>
          </w:p>
        </w:tc>
      </w:tr>
      <w:tr w:rsidR="006B69D2" w:rsidRPr="00E63F88" w14:paraId="2766158C" w14:textId="77777777" w:rsidTr="00517320">
        <w:trPr>
          <w:trHeight w:val="312"/>
        </w:trPr>
        <w:tc>
          <w:tcPr>
            <w:tcW w:w="1400" w:type="dxa"/>
            <w:vMerge w:val="restart"/>
            <w:shd w:val="clear" w:color="auto" w:fill="auto"/>
            <w:noWrap/>
            <w:vAlign w:val="center"/>
            <w:hideMark/>
          </w:tcPr>
          <w:p w14:paraId="3C4F2481"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lastRenderedPageBreak/>
              <w:t>Post-Institute</w:t>
            </w:r>
          </w:p>
        </w:tc>
        <w:tc>
          <w:tcPr>
            <w:tcW w:w="1300" w:type="dxa"/>
            <w:shd w:val="clear" w:color="auto" w:fill="auto"/>
            <w:noWrap/>
            <w:vAlign w:val="bottom"/>
            <w:hideMark/>
          </w:tcPr>
          <w:p w14:paraId="433835AA"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Mode</w:t>
            </w:r>
          </w:p>
        </w:tc>
        <w:tc>
          <w:tcPr>
            <w:tcW w:w="1480" w:type="dxa"/>
            <w:shd w:val="clear" w:color="auto" w:fill="auto"/>
            <w:noWrap/>
            <w:vAlign w:val="bottom"/>
            <w:hideMark/>
          </w:tcPr>
          <w:p w14:paraId="5E6F9B90" w14:textId="40B55D7E" w:rsidR="006B69D2" w:rsidRPr="00E63F88" w:rsidRDefault="006B69D2" w:rsidP="00C829D2">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7AAFD739" w14:textId="77777777" w:rsidR="006B69D2" w:rsidRPr="00E63F88" w:rsidRDefault="006B69D2" w:rsidP="00C829D2">
            <w:pPr>
              <w:spacing w:after="0" w:line="240" w:lineRule="auto"/>
              <w:jc w:val="center"/>
              <w:rPr>
                <w:rFonts w:eastAsia="Times New Roman"/>
                <w:color w:val="000000"/>
              </w:rPr>
            </w:pPr>
          </w:p>
        </w:tc>
        <w:tc>
          <w:tcPr>
            <w:tcW w:w="1400" w:type="dxa"/>
            <w:shd w:val="clear" w:color="auto" w:fill="auto"/>
            <w:noWrap/>
            <w:vAlign w:val="bottom"/>
            <w:hideMark/>
          </w:tcPr>
          <w:p w14:paraId="46E0A5D6" w14:textId="41D88B15" w:rsidR="006B69D2" w:rsidRPr="00E63F88" w:rsidRDefault="006B69D2" w:rsidP="00C829D2">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3346CD99" w14:textId="77777777" w:rsidR="006B69D2" w:rsidRPr="00E63F88" w:rsidRDefault="006B69D2" w:rsidP="00C829D2">
            <w:pPr>
              <w:spacing w:after="0" w:line="240" w:lineRule="auto"/>
              <w:jc w:val="center"/>
              <w:rPr>
                <w:rFonts w:eastAsia="Times New Roman"/>
                <w:color w:val="000000"/>
              </w:rPr>
            </w:pPr>
          </w:p>
        </w:tc>
        <w:tc>
          <w:tcPr>
            <w:tcW w:w="1500" w:type="dxa"/>
            <w:shd w:val="clear" w:color="auto" w:fill="auto"/>
            <w:noWrap/>
            <w:vAlign w:val="bottom"/>
            <w:hideMark/>
          </w:tcPr>
          <w:p w14:paraId="3E4A2BAB"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4</w:t>
            </w:r>
          </w:p>
        </w:tc>
        <w:tc>
          <w:tcPr>
            <w:tcW w:w="220" w:type="dxa"/>
            <w:shd w:val="clear" w:color="auto" w:fill="auto"/>
            <w:noWrap/>
            <w:vAlign w:val="bottom"/>
            <w:hideMark/>
          </w:tcPr>
          <w:p w14:paraId="3E7A04BB" w14:textId="77777777" w:rsidR="006B69D2" w:rsidRPr="00E63F88" w:rsidRDefault="006B69D2" w:rsidP="00C829D2">
            <w:pPr>
              <w:spacing w:after="0" w:line="240" w:lineRule="auto"/>
              <w:jc w:val="center"/>
              <w:rPr>
                <w:rFonts w:eastAsia="Times New Roman"/>
                <w:color w:val="000000"/>
              </w:rPr>
            </w:pPr>
          </w:p>
        </w:tc>
        <w:tc>
          <w:tcPr>
            <w:tcW w:w="1700" w:type="dxa"/>
            <w:shd w:val="clear" w:color="auto" w:fill="auto"/>
            <w:noWrap/>
            <w:vAlign w:val="bottom"/>
            <w:hideMark/>
          </w:tcPr>
          <w:p w14:paraId="6A1449F4" w14:textId="2B5C79AD"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r>
      <w:tr w:rsidR="006B69D2" w:rsidRPr="00E63F88" w14:paraId="7817274F" w14:textId="77777777" w:rsidTr="00517320">
        <w:trPr>
          <w:trHeight w:val="312"/>
        </w:trPr>
        <w:tc>
          <w:tcPr>
            <w:tcW w:w="1400" w:type="dxa"/>
            <w:vMerge/>
            <w:vAlign w:val="center"/>
            <w:hideMark/>
          </w:tcPr>
          <w:p w14:paraId="125551A9" w14:textId="77777777" w:rsidR="006B69D2" w:rsidRPr="00E63F88" w:rsidRDefault="006B69D2" w:rsidP="00C829D2">
            <w:pPr>
              <w:spacing w:after="0" w:line="240" w:lineRule="auto"/>
              <w:rPr>
                <w:rFonts w:eastAsia="Times New Roman"/>
                <w:color w:val="000000"/>
              </w:rPr>
            </w:pPr>
          </w:p>
        </w:tc>
        <w:tc>
          <w:tcPr>
            <w:tcW w:w="1300" w:type="dxa"/>
            <w:shd w:val="clear" w:color="auto" w:fill="auto"/>
            <w:noWrap/>
            <w:vAlign w:val="bottom"/>
            <w:hideMark/>
          </w:tcPr>
          <w:p w14:paraId="6E2A83E7"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Median</w:t>
            </w:r>
          </w:p>
        </w:tc>
        <w:tc>
          <w:tcPr>
            <w:tcW w:w="1480" w:type="dxa"/>
            <w:shd w:val="clear" w:color="auto" w:fill="auto"/>
            <w:noWrap/>
            <w:vAlign w:val="bottom"/>
            <w:hideMark/>
          </w:tcPr>
          <w:p w14:paraId="70132801" w14:textId="4CBFF817" w:rsidR="006B69D2" w:rsidRPr="00E63F88" w:rsidRDefault="006B69D2" w:rsidP="00C829D2">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29F2AE91" w14:textId="77777777" w:rsidR="006B69D2" w:rsidRPr="00E63F88" w:rsidRDefault="006B69D2" w:rsidP="00C829D2">
            <w:pPr>
              <w:spacing w:after="0" w:line="240" w:lineRule="auto"/>
              <w:jc w:val="center"/>
              <w:rPr>
                <w:rFonts w:eastAsia="Times New Roman"/>
                <w:color w:val="000000"/>
              </w:rPr>
            </w:pPr>
          </w:p>
        </w:tc>
        <w:tc>
          <w:tcPr>
            <w:tcW w:w="1400" w:type="dxa"/>
            <w:shd w:val="clear" w:color="auto" w:fill="auto"/>
            <w:noWrap/>
            <w:vAlign w:val="bottom"/>
            <w:hideMark/>
          </w:tcPr>
          <w:p w14:paraId="5E1FC26C" w14:textId="6083FF0D" w:rsidR="006B69D2" w:rsidRPr="00E63F88" w:rsidRDefault="006B69D2" w:rsidP="00C829D2">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03728999" w14:textId="77777777" w:rsidR="006B69D2" w:rsidRPr="00E63F88" w:rsidRDefault="006B69D2" w:rsidP="00C829D2">
            <w:pPr>
              <w:spacing w:after="0" w:line="240" w:lineRule="auto"/>
              <w:jc w:val="center"/>
              <w:rPr>
                <w:rFonts w:eastAsia="Times New Roman"/>
                <w:color w:val="000000"/>
              </w:rPr>
            </w:pPr>
          </w:p>
        </w:tc>
        <w:tc>
          <w:tcPr>
            <w:tcW w:w="1500" w:type="dxa"/>
            <w:shd w:val="clear" w:color="auto" w:fill="auto"/>
            <w:noWrap/>
            <w:vAlign w:val="bottom"/>
            <w:hideMark/>
          </w:tcPr>
          <w:p w14:paraId="5C155652" w14:textId="1DC7B7F4" w:rsidR="006B69D2" w:rsidRPr="00E63F88" w:rsidRDefault="006B69D2" w:rsidP="00C829D2">
            <w:pPr>
              <w:spacing w:after="0" w:line="240" w:lineRule="auto"/>
              <w:jc w:val="center"/>
              <w:rPr>
                <w:rFonts w:eastAsia="Times New Roman"/>
                <w:color w:val="000000"/>
              </w:rPr>
            </w:pPr>
            <w:r>
              <w:rPr>
                <w:rFonts w:eastAsia="Times New Roman"/>
                <w:color w:val="000000"/>
              </w:rPr>
              <w:t>4</w:t>
            </w:r>
          </w:p>
        </w:tc>
        <w:tc>
          <w:tcPr>
            <w:tcW w:w="220" w:type="dxa"/>
            <w:shd w:val="clear" w:color="auto" w:fill="auto"/>
            <w:noWrap/>
            <w:vAlign w:val="bottom"/>
            <w:hideMark/>
          </w:tcPr>
          <w:p w14:paraId="399D7A48" w14:textId="77777777" w:rsidR="006B69D2" w:rsidRPr="00E63F88" w:rsidRDefault="006B69D2" w:rsidP="00C829D2">
            <w:pPr>
              <w:spacing w:after="0" w:line="240" w:lineRule="auto"/>
              <w:jc w:val="center"/>
              <w:rPr>
                <w:rFonts w:eastAsia="Times New Roman"/>
                <w:color w:val="000000"/>
              </w:rPr>
            </w:pPr>
          </w:p>
        </w:tc>
        <w:tc>
          <w:tcPr>
            <w:tcW w:w="1700" w:type="dxa"/>
            <w:shd w:val="clear" w:color="auto" w:fill="auto"/>
            <w:noWrap/>
            <w:vAlign w:val="bottom"/>
            <w:hideMark/>
          </w:tcPr>
          <w:p w14:paraId="6968E49C" w14:textId="77777777" w:rsidR="006B69D2" w:rsidRPr="00E63F88" w:rsidRDefault="006B69D2" w:rsidP="00C829D2">
            <w:pPr>
              <w:spacing w:after="0" w:line="240" w:lineRule="auto"/>
              <w:jc w:val="center"/>
              <w:rPr>
                <w:rFonts w:eastAsia="Times New Roman"/>
                <w:color w:val="000000"/>
              </w:rPr>
            </w:pPr>
            <w:r w:rsidRPr="00E63F88">
              <w:rPr>
                <w:rFonts w:eastAsia="Times New Roman"/>
                <w:color w:val="000000"/>
              </w:rPr>
              <w:t>3</w:t>
            </w:r>
          </w:p>
        </w:tc>
      </w:tr>
    </w:tbl>
    <w:p w14:paraId="0C3FA233" w14:textId="77777777" w:rsidR="006B69D2" w:rsidRDefault="006B69D2" w:rsidP="004D33DC"/>
    <w:p w14:paraId="6272182C" w14:textId="084EA3FF" w:rsidR="004D33DC" w:rsidRDefault="004D33DC" w:rsidP="004D33DC">
      <w:r>
        <w:t xml:space="preserve">Across all teachers’ ratings for Curriculum constructs, Pre-Inquiry was selected </w:t>
      </w:r>
      <w:r w:rsidR="006A4F0A">
        <w:t xml:space="preserve">just once compared to </w:t>
      </w:r>
      <w:r w:rsidR="006B69D2">
        <w:t>six</w:t>
      </w:r>
      <w:r w:rsidR="006A4F0A">
        <w:t xml:space="preserve"> times </w:t>
      </w:r>
      <w:r w:rsidR="006B69D2">
        <w:t>during</w:t>
      </w:r>
      <w:r w:rsidR="006A4F0A">
        <w:t xml:space="preserve"> pre-Institute observations.</w:t>
      </w:r>
      <w:r>
        <w:t xml:space="preserve"> The Exemplary Inquiry rating</w:t>
      </w:r>
      <w:r w:rsidR="006A4F0A">
        <w:t xml:space="preserve"> was indicated </w:t>
      </w:r>
      <w:r w:rsidR="006B69D2">
        <w:t>17</w:t>
      </w:r>
      <w:r w:rsidR="006A4F0A">
        <w:t xml:space="preserve"> times, while it</w:t>
      </w:r>
      <w:r>
        <w:t xml:space="preserve"> was not selected at all</w:t>
      </w:r>
      <w:r w:rsidR="006A4F0A">
        <w:t xml:space="preserve"> in pre-Institute observations</w:t>
      </w:r>
      <w:r>
        <w:t xml:space="preserve">. </w:t>
      </w:r>
      <w:r w:rsidR="006A4F0A">
        <w:t xml:space="preserve">The Exemplary rating was observed most frequently in the “Integration of Content and Lesson” </w:t>
      </w:r>
      <w:r w:rsidR="007748FA">
        <w:t>indicator</w:t>
      </w:r>
      <w:r w:rsidR="006A4F0A">
        <w:t>, suggesting the teachers integrated the content of the lesson with the student investigation seamlessly.</w:t>
      </w:r>
    </w:p>
    <w:p w14:paraId="1D2F9214" w14:textId="486E4554" w:rsidR="007748FA" w:rsidRDefault="007748FA" w:rsidP="007748FA">
      <w:r>
        <w:rPr>
          <w:i/>
          <w:color w:val="0000FF"/>
        </w:rPr>
        <w:t>Overall comparison of pre- to post-Institute observations</w:t>
      </w:r>
    </w:p>
    <w:p w14:paraId="556FA247" w14:textId="2420738E" w:rsidR="002F1200" w:rsidRDefault="002F1200" w:rsidP="004D33DC">
      <w:r>
        <w:t>Prior to participation in the INITIATE Summer Institute, teachers in general displayed inquiry-based instruction at the Developing</w:t>
      </w:r>
      <w:r w:rsidR="00226802">
        <w:t xml:space="preserve"> to Proficient </w:t>
      </w:r>
      <w:r>
        <w:t xml:space="preserve">Inquiry level with the Instructional factor showing the greatest degree of proficiency. </w:t>
      </w:r>
      <w:r w:rsidR="007748FA">
        <w:t xml:space="preserve">When the teachers were observed again after their participation in the </w:t>
      </w:r>
      <w:r w:rsidR="00226802">
        <w:t>SI,</w:t>
      </w:r>
      <w:r w:rsidR="007748FA">
        <w:t xml:space="preserve"> there were more occurrences of Exemplary ratings across each of the four factors</w:t>
      </w:r>
      <w:r w:rsidR="00226802">
        <w:t xml:space="preserve"> as well as improvements in both the mode and median scores</w:t>
      </w:r>
      <w:r w:rsidR="007748FA">
        <w:t xml:space="preserve">. Overall, the teachers </w:t>
      </w:r>
      <w:r w:rsidR="00226802">
        <w:t>improved the most on the</w:t>
      </w:r>
      <w:r w:rsidR="007748FA">
        <w:t xml:space="preserve"> Assessment </w:t>
      </w:r>
      <w:r w:rsidR="00226802">
        <w:t xml:space="preserve">and Curriculum </w:t>
      </w:r>
      <w:r w:rsidR="007748FA">
        <w:t>factors</w:t>
      </w:r>
      <w:r w:rsidR="00226802">
        <w:t>.</w:t>
      </w:r>
      <w:r w:rsidR="007748FA">
        <w:t xml:space="preserve"> </w:t>
      </w:r>
    </w:p>
    <w:p w14:paraId="6D781EDF" w14:textId="77777777" w:rsidR="006F3DE5" w:rsidRDefault="006F3DE5" w:rsidP="00375D07">
      <w:pPr>
        <w:spacing w:after="0" w:line="276" w:lineRule="auto"/>
      </w:pPr>
    </w:p>
    <w:p w14:paraId="5BF1460B" w14:textId="48FD389E" w:rsidR="00AA37C6" w:rsidRDefault="00284921" w:rsidP="00226802">
      <w:pPr>
        <w:pStyle w:val="ListParagraph"/>
        <w:numPr>
          <w:ilvl w:val="0"/>
          <w:numId w:val="1"/>
        </w:numPr>
        <w:rPr>
          <w:color w:val="0000FF"/>
          <w:sz w:val="28"/>
          <w:szCs w:val="28"/>
        </w:rPr>
      </w:pPr>
      <w:r w:rsidRPr="00893D52">
        <w:rPr>
          <w:color w:val="0000FF"/>
          <w:sz w:val="28"/>
          <w:szCs w:val="28"/>
        </w:rPr>
        <w:t xml:space="preserve">Teacher </w:t>
      </w:r>
      <w:r w:rsidR="00AA37C6" w:rsidRPr="00893D52">
        <w:rPr>
          <w:color w:val="0000FF"/>
          <w:sz w:val="28"/>
          <w:szCs w:val="28"/>
        </w:rPr>
        <w:t>Computational</w:t>
      </w:r>
      <w:r w:rsidR="00AA37C6" w:rsidRPr="00AA37C6">
        <w:rPr>
          <w:color w:val="0000FF"/>
          <w:sz w:val="28"/>
          <w:szCs w:val="28"/>
        </w:rPr>
        <w:t xml:space="preserve"> Thinking Assessmen</w:t>
      </w:r>
      <w:r w:rsidR="00C3068C">
        <w:rPr>
          <w:color w:val="0000FF"/>
          <w:sz w:val="28"/>
          <w:szCs w:val="28"/>
        </w:rPr>
        <w:t>t</w:t>
      </w:r>
    </w:p>
    <w:p w14:paraId="1564A0B9" w14:textId="3571D9EC" w:rsidR="00526DCF" w:rsidRDefault="00AA37C6" w:rsidP="00F75A00">
      <w:r>
        <w:t xml:space="preserve">Teachers completed the Computational Thinking assessment (CT) on the first and last days of </w:t>
      </w:r>
      <w:r w:rsidR="00A57C3E">
        <w:t xml:space="preserve">the </w:t>
      </w:r>
      <w:r w:rsidR="00375D07">
        <w:t>SI</w:t>
      </w:r>
      <w:r w:rsidR="00A57C3E">
        <w:t>, and again</w:t>
      </w:r>
      <w:r w:rsidR="00E32BA3">
        <w:t xml:space="preserve"> approximately</w:t>
      </w:r>
      <w:r w:rsidR="00A57C3E">
        <w:t xml:space="preserve"> 8 months after the </w:t>
      </w:r>
      <w:r w:rsidR="00375D07">
        <w:t>SI</w:t>
      </w:r>
      <w:r w:rsidR="00A57C3E">
        <w:t xml:space="preserve">. The Teacher CT assessment was designed by project staff and evaluators to gauge participant knowledge and understanding of computational thinking concepts and how to implement them in the classroom. </w:t>
      </w:r>
    </w:p>
    <w:p w14:paraId="3E926E98" w14:textId="7207C63E" w:rsidR="00A57C3E" w:rsidRPr="004D33DC" w:rsidRDefault="00F64803" w:rsidP="00A57C3E">
      <w:pPr>
        <w:rPr>
          <w:i/>
        </w:rPr>
      </w:pPr>
      <w:r>
        <w:rPr>
          <w:i/>
          <w:color w:val="0000FF"/>
        </w:rPr>
        <w:t xml:space="preserve">CT assessment </w:t>
      </w:r>
    </w:p>
    <w:p w14:paraId="2398F8ED" w14:textId="2A86D873" w:rsidR="00A57C3E" w:rsidRDefault="00A57C3E" w:rsidP="00F75A00">
      <w:r>
        <w:t xml:space="preserve">The Teacher CT assessment consists of 13 items. The first four items ask teachers to define </w:t>
      </w:r>
      <w:r w:rsidR="00966C44">
        <w:t xml:space="preserve">a CT concept (algorithm design, pattern recognition, abstraction, and decomposition) and provide something a student might do to exhibit understanding of that concept. Responses are scored on a 4-point scale that rewards accurate definition of concept that clearly links with an appropriate student behavior. The next six items </w:t>
      </w:r>
      <w:r w:rsidR="00E32BA3">
        <w:t>explore</w:t>
      </w:r>
      <w:r w:rsidR="00966C44">
        <w:t xml:space="preserve"> a fictitious student homework assignment </w:t>
      </w:r>
      <w:r w:rsidR="00B60A98">
        <w:t xml:space="preserve">where the respondent needs to identify and justify the CT concept involved with different aspects of the assignment. These responses </w:t>
      </w:r>
      <w:r w:rsidR="005F4B2D">
        <w:t>are</w:t>
      </w:r>
      <w:r w:rsidR="00B60A98">
        <w:t xml:space="preserve"> dichotomized into correct/incorrect identification of the element and sufficient/insufficient justification. The final three questions require respondents to detail how they would integrate CT into specific and general math and CTE classroom environments. Again, answers are scored on a 4-point scale that rewards respondents for depth, clarity, and comprehensiveness of their response.</w:t>
      </w:r>
      <w:r w:rsidR="009037DA">
        <w:t xml:space="preserve"> Thus, respondents could score a </w:t>
      </w:r>
      <w:r w:rsidR="00E32BA3">
        <w:t xml:space="preserve">total of </w:t>
      </w:r>
      <w:r w:rsidR="009037DA">
        <w:t>0 (very little to no CT knowledge) up to 27 (very high level of CT knowledge).</w:t>
      </w:r>
    </w:p>
    <w:p w14:paraId="49A9815B" w14:textId="517F7FD1" w:rsidR="00685287" w:rsidRDefault="000B765D" w:rsidP="00F75A00">
      <w:proofErr w:type="spellStart"/>
      <w:r>
        <w:t>Krippendorff’s</w:t>
      </w:r>
      <w:proofErr w:type="spellEnd"/>
      <w:r>
        <w:t xml:space="preserve"> alpha was computed</w:t>
      </w:r>
      <w:r w:rsidR="00375D07">
        <w:t xml:space="preserve"> </w:t>
      </w:r>
      <w:r w:rsidR="00F64803">
        <w:t xml:space="preserve">in the first year </w:t>
      </w:r>
      <w:r w:rsidR="00375D07">
        <w:t>to verify inter-rater reliability</w:t>
      </w:r>
      <w:r>
        <w:t xml:space="preserve">. </w:t>
      </w:r>
      <w:r w:rsidR="005F4B2D">
        <w:t>The reliability index</w:t>
      </w:r>
      <w:r w:rsidR="00375D07">
        <w:t xml:space="preserve"> between three raters was .83 with a range of .79 to .87.</w:t>
      </w:r>
      <w:r w:rsidR="00DA1890">
        <w:t xml:space="preserve"> </w:t>
      </w:r>
      <w:r w:rsidR="00F64803">
        <w:t xml:space="preserve">Subsequent years used two of the three raters for this assessment. </w:t>
      </w:r>
    </w:p>
    <w:p w14:paraId="523A78C8" w14:textId="67D42140" w:rsidR="00A57C3E" w:rsidRPr="004D33DC" w:rsidRDefault="00103058" w:rsidP="00A57C3E">
      <w:pPr>
        <w:rPr>
          <w:i/>
        </w:rPr>
      </w:pPr>
      <w:r>
        <w:rPr>
          <w:i/>
          <w:color w:val="0000FF"/>
        </w:rPr>
        <w:lastRenderedPageBreak/>
        <w:t>Assessment of teacher CT</w:t>
      </w:r>
    </w:p>
    <w:p w14:paraId="47539C1B" w14:textId="3331A6CB" w:rsidR="00A57C3E" w:rsidRDefault="002F1685" w:rsidP="00F75A00">
      <w:r>
        <w:t>T</w:t>
      </w:r>
      <w:r w:rsidR="00D679FA">
        <w:t>o examine if the CT assessment</w:t>
      </w:r>
      <w:r w:rsidR="00D679FA" w:rsidRPr="00D679FA">
        <w:t xml:space="preserve"> measure</w:t>
      </w:r>
      <w:r w:rsidR="00D679FA">
        <w:t>d</w:t>
      </w:r>
      <w:r w:rsidR="00D679FA" w:rsidRPr="00D679FA">
        <w:t xml:space="preserve"> our desired trait, i.e.</w:t>
      </w:r>
      <w:r w:rsidR="00E05686">
        <w:t>,</w:t>
      </w:r>
      <w:r w:rsidR="00D679FA" w:rsidRPr="00D679FA">
        <w:t xml:space="preserve"> </w:t>
      </w:r>
      <w:r w:rsidR="00D679FA">
        <w:t>teacher knowledge of computational thinking concepts</w:t>
      </w:r>
      <w:r w:rsidR="00D679FA" w:rsidRPr="00D679FA">
        <w:t>, raw scores</w:t>
      </w:r>
      <w:r w:rsidR="00D679FA">
        <w:t xml:space="preserve"> obtained</w:t>
      </w:r>
      <w:r w:rsidR="00D679FA" w:rsidRPr="00D679FA">
        <w:t xml:space="preserve"> were converted to the logit scale. Logits are standardized units in the Rasch model. Rasch modeling was used to transform the ordinal values to an interval scale to allow for parametric comparison. The Rasch model was selected because it is a unidimensional measurement model. Included in Rasch measurements are dimensional tests that reveal if more than one trait or attribute is being measured.</w:t>
      </w:r>
      <w:r w:rsidR="00D679FA">
        <w:t xml:space="preserve"> </w:t>
      </w:r>
      <w:r w:rsidR="00103058">
        <w:t xml:space="preserve">The Rasch interval measures of teacher CT were used to compare teacher performance on the assessment over time. Table </w:t>
      </w:r>
      <w:r w:rsidR="00D050AA">
        <w:t>5</w:t>
      </w:r>
      <w:r w:rsidR="00103058">
        <w:t xml:space="preserve"> shows the average measure</w:t>
      </w:r>
      <w:r w:rsidR="00655A6E">
        <w:t>s</w:t>
      </w:r>
      <w:r w:rsidR="00103058">
        <w:t xml:space="preserve"> for </w:t>
      </w:r>
      <w:r w:rsidR="00655A6E">
        <w:t>Cohort</w:t>
      </w:r>
      <w:r w:rsidR="00103058">
        <w:t xml:space="preserve"> before entering the INITIATE program </w:t>
      </w:r>
      <w:r w:rsidR="00655A6E">
        <w:t xml:space="preserve">and just following participation in the SI. For each Cohort, scores increased on the post participation assessment. </w:t>
      </w:r>
    </w:p>
    <w:p w14:paraId="1405E5E7" w14:textId="12D8819B" w:rsidR="00103058" w:rsidRPr="00103058" w:rsidRDefault="00F64803" w:rsidP="00103058">
      <w:pPr>
        <w:spacing w:after="0" w:line="276" w:lineRule="auto"/>
        <w:rPr>
          <w:i/>
          <w:iCs/>
        </w:rPr>
      </w:pPr>
      <w:r>
        <w:rPr>
          <w:i/>
          <w:color w:val="0000FF"/>
        </w:rPr>
        <w:t xml:space="preserve">Table </w:t>
      </w:r>
      <w:r w:rsidR="00D050AA">
        <w:rPr>
          <w:i/>
          <w:color w:val="0000FF"/>
        </w:rPr>
        <w:t>5</w:t>
      </w:r>
      <w:r w:rsidR="00AA65FF">
        <w:rPr>
          <w:i/>
          <w:color w:val="0000FF"/>
        </w:rPr>
        <w:t xml:space="preserve">. Average CT measures </w:t>
      </w:r>
    </w:p>
    <w:tbl>
      <w:tblPr>
        <w:tblW w:w="6440" w:type="dxa"/>
        <w:tblBorders>
          <w:insideH w:val="single" w:sz="4" w:space="0" w:color="auto"/>
          <w:insideV w:val="single" w:sz="4" w:space="0" w:color="auto"/>
        </w:tblBorders>
        <w:tblLook w:val="04A0" w:firstRow="1" w:lastRow="0" w:firstColumn="1" w:lastColumn="0" w:noHBand="0" w:noVBand="1"/>
      </w:tblPr>
      <w:tblGrid>
        <w:gridCol w:w="1163"/>
        <w:gridCol w:w="1288"/>
        <w:gridCol w:w="1288"/>
        <w:gridCol w:w="1413"/>
        <w:gridCol w:w="1288"/>
      </w:tblGrid>
      <w:tr w:rsidR="00103058" w:rsidRPr="00103058" w14:paraId="38A82025" w14:textId="77777777" w:rsidTr="00AA65FF">
        <w:trPr>
          <w:trHeight w:val="680"/>
        </w:trPr>
        <w:tc>
          <w:tcPr>
            <w:tcW w:w="1163" w:type="dxa"/>
            <w:shd w:val="clear" w:color="auto" w:fill="auto"/>
            <w:vAlign w:val="bottom"/>
            <w:hideMark/>
          </w:tcPr>
          <w:p w14:paraId="090156FB" w14:textId="77777777" w:rsidR="00103058" w:rsidRPr="00103058" w:rsidRDefault="00103058" w:rsidP="00103058">
            <w:pPr>
              <w:spacing w:after="0" w:line="240" w:lineRule="auto"/>
              <w:rPr>
                <w:rFonts w:eastAsia="Times New Roman"/>
                <w:color w:val="000000"/>
              </w:rPr>
            </w:pPr>
            <w:r w:rsidRPr="00103058">
              <w:rPr>
                <w:rFonts w:eastAsia="Times New Roman"/>
                <w:color w:val="000000"/>
              </w:rPr>
              <w:t> </w:t>
            </w:r>
          </w:p>
        </w:tc>
        <w:tc>
          <w:tcPr>
            <w:tcW w:w="1288" w:type="dxa"/>
            <w:shd w:val="clear" w:color="auto" w:fill="auto"/>
            <w:vAlign w:val="bottom"/>
            <w:hideMark/>
          </w:tcPr>
          <w:p w14:paraId="1372A345" w14:textId="77777777" w:rsidR="00103058" w:rsidRPr="00CE6F92" w:rsidRDefault="00103058" w:rsidP="00103058">
            <w:pPr>
              <w:spacing w:after="0" w:line="240" w:lineRule="auto"/>
              <w:jc w:val="center"/>
              <w:rPr>
                <w:iCs/>
                <w:color w:val="0000FF"/>
              </w:rPr>
            </w:pPr>
            <w:r w:rsidRPr="00CE6F92">
              <w:rPr>
                <w:iCs/>
                <w:color w:val="0000FF"/>
              </w:rPr>
              <w:t>Mean</w:t>
            </w:r>
          </w:p>
        </w:tc>
        <w:tc>
          <w:tcPr>
            <w:tcW w:w="1288" w:type="dxa"/>
            <w:shd w:val="clear" w:color="auto" w:fill="auto"/>
            <w:vAlign w:val="bottom"/>
            <w:hideMark/>
          </w:tcPr>
          <w:p w14:paraId="2FEE3781" w14:textId="30CDB538" w:rsidR="00103058" w:rsidRPr="00CE6F92" w:rsidRDefault="00AA65FF" w:rsidP="00103058">
            <w:pPr>
              <w:spacing w:after="0" w:line="240" w:lineRule="auto"/>
              <w:jc w:val="center"/>
              <w:rPr>
                <w:iCs/>
                <w:color w:val="0000FF"/>
              </w:rPr>
            </w:pPr>
            <w:r w:rsidRPr="00CE6F92">
              <w:rPr>
                <w:iCs/>
                <w:color w:val="0000FF"/>
              </w:rPr>
              <w:t>n</w:t>
            </w:r>
          </w:p>
        </w:tc>
        <w:tc>
          <w:tcPr>
            <w:tcW w:w="1413" w:type="dxa"/>
            <w:shd w:val="clear" w:color="auto" w:fill="auto"/>
            <w:vAlign w:val="bottom"/>
            <w:hideMark/>
          </w:tcPr>
          <w:p w14:paraId="60D4147F" w14:textId="77777777" w:rsidR="00103058" w:rsidRPr="00CE6F92" w:rsidRDefault="00103058" w:rsidP="00103058">
            <w:pPr>
              <w:spacing w:after="0" w:line="240" w:lineRule="auto"/>
              <w:jc w:val="center"/>
              <w:rPr>
                <w:iCs/>
                <w:color w:val="0000FF"/>
              </w:rPr>
            </w:pPr>
            <w:r w:rsidRPr="00CE6F92">
              <w:rPr>
                <w:iCs/>
                <w:color w:val="0000FF"/>
              </w:rPr>
              <w:t>Std. Deviation</w:t>
            </w:r>
          </w:p>
        </w:tc>
        <w:tc>
          <w:tcPr>
            <w:tcW w:w="1288" w:type="dxa"/>
            <w:shd w:val="clear" w:color="auto" w:fill="auto"/>
            <w:vAlign w:val="bottom"/>
            <w:hideMark/>
          </w:tcPr>
          <w:p w14:paraId="432334A9" w14:textId="77777777" w:rsidR="00103058" w:rsidRPr="00CE6F92" w:rsidRDefault="00103058" w:rsidP="00103058">
            <w:pPr>
              <w:spacing w:after="0" w:line="240" w:lineRule="auto"/>
              <w:jc w:val="center"/>
              <w:rPr>
                <w:iCs/>
                <w:color w:val="0000FF"/>
              </w:rPr>
            </w:pPr>
            <w:r w:rsidRPr="00CE6F92">
              <w:rPr>
                <w:iCs/>
                <w:color w:val="0000FF"/>
              </w:rPr>
              <w:t>Std. Error Mean</w:t>
            </w:r>
          </w:p>
        </w:tc>
      </w:tr>
      <w:tr w:rsidR="00AA65FF" w:rsidRPr="00103058" w14:paraId="6A5FA8BB" w14:textId="77777777" w:rsidTr="000C0EF8">
        <w:trPr>
          <w:trHeight w:val="340"/>
        </w:trPr>
        <w:tc>
          <w:tcPr>
            <w:tcW w:w="6440" w:type="dxa"/>
            <w:gridSpan w:val="5"/>
            <w:shd w:val="clear" w:color="auto" w:fill="auto"/>
          </w:tcPr>
          <w:p w14:paraId="6954842D" w14:textId="766302FC" w:rsidR="00AA65FF" w:rsidRPr="00103058" w:rsidRDefault="00AA65FF" w:rsidP="00103058">
            <w:pPr>
              <w:spacing w:after="0" w:line="240" w:lineRule="auto"/>
              <w:jc w:val="center"/>
              <w:rPr>
                <w:rFonts w:eastAsia="Times New Roman"/>
                <w:color w:val="000000"/>
              </w:rPr>
            </w:pPr>
            <w:r w:rsidRPr="00AA65FF">
              <w:rPr>
                <w:rFonts w:eastAsia="Times New Roman"/>
                <w:color w:val="0033CC"/>
              </w:rPr>
              <w:t>Cohort 1</w:t>
            </w:r>
          </w:p>
        </w:tc>
      </w:tr>
      <w:tr w:rsidR="00103058" w:rsidRPr="00103058" w14:paraId="338AD5D8" w14:textId="77777777" w:rsidTr="00AA65FF">
        <w:trPr>
          <w:trHeight w:val="340"/>
        </w:trPr>
        <w:tc>
          <w:tcPr>
            <w:tcW w:w="1163" w:type="dxa"/>
            <w:shd w:val="clear" w:color="auto" w:fill="auto"/>
            <w:hideMark/>
          </w:tcPr>
          <w:p w14:paraId="24E602BC" w14:textId="77777777" w:rsidR="00103058" w:rsidRPr="00103058" w:rsidRDefault="00103058" w:rsidP="00103058">
            <w:pPr>
              <w:spacing w:after="0" w:line="240" w:lineRule="auto"/>
              <w:rPr>
                <w:rFonts w:eastAsia="Times New Roman"/>
                <w:color w:val="000000"/>
              </w:rPr>
            </w:pPr>
            <w:r w:rsidRPr="00103058">
              <w:rPr>
                <w:rFonts w:eastAsia="Times New Roman"/>
                <w:color w:val="000000"/>
              </w:rPr>
              <w:t>Pre-SI</w:t>
            </w:r>
          </w:p>
        </w:tc>
        <w:tc>
          <w:tcPr>
            <w:tcW w:w="1288" w:type="dxa"/>
            <w:shd w:val="clear" w:color="auto" w:fill="auto"/>
            <w:noWrap/>
            <w:hideMark/>
          </w:tcPr>
          <w:p w14:paraId="2703B13A"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12.2</w:t>
            </w:r>
          </w:p>
        </w:tc>
        <w:tc>
          <w:tcPr>
            <w:tcW w:w="1288" w:type="dxa"/>
            <w:shd w:val="clear" w:color="auto" w:fill="auto"/>
            <w:noWrap/>
            <w:hideMark/>
          </w:tcPr>
          <w:p w14:paraId="53B2CA1F"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6</w:t>
            </w:r>
          </w:p>
        </w:tc>
        <w:tc>
          <w:tcPr>
            <w:tcW w:w="1413" w:type="dxa"/>
            <w:shd w:val="clear" w:color="auto" w:fill="auto"/>
            <w:noWrap/>
            <w:hideMark/>
          </w:tcPr>
          <w:p w14:paraId="0D00EF1E"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3.3</w:t>
            </w:r>
          </w:p>
        </w:tc>
        <w:tc>
          <w:tcPr>
            <w:tcW w:w="1288" w:type="dxa"/>
            <w:shd w:val="clear" w:color="auto" w:fill="auto"/>
            <w:noWrap/>
            <w:hideMark/>
          </w:tcPr>
          <w:p w14:paraId="77E1FBEE"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1.3</w:t>
            </w:r>
          </w:p>
        </w:tc>
      </w:tr>
      <w:tr w:rsidR="00103058" w:rsidRPr="00103058" w14:paraId="1404C261" w14:textId="77777777" w:rsidTr="00AA65FF">
        <w:trPr>
          <w:trHeight w:val="340"/>
        </w:trPr>
        <w:tc>
          <w:tcPr>
            <w:tcW w:w="1163" w:type="dxa"/>
            <w:shd w:val="clear" w:color="auto" w:fill="auto"/>
            <w:hideMark/>
          </w:tcPr>
          <w:p w14:paraId="703A8706" w14:textId="77777777" w:rsidR="00103058" w:rsidRPr="00103058" w:rsidRDefault="00103058" w:rsidP="00103058">
            <w:pPr>
              <w:spacing w:after="0" w:line="240" w:lineRule="auto"/>
              <w:rPr>
                <w:rFonts w:eastAsia="Times New Roman"/>
                <w:color w:val="000000"/>
              </w:rPr>
            </w:pPr>
            <w:r w:rsidRPr="00103058">
              <w:rPr>
                <w:rFonts w:eastAsia="Times New Roman"/>
                <w:color w:val="000000"/>
              </w:rPr>
              <w:t>Post-SI_1</w:t>
            </w:r>
          </w:p>
        </w:tc>
        <w:tc>
          <w:tcPr>
            <w:tcW w:w="1288" w:type="dxa"/>
            <w:shd w:val="clear" w:color="auto" w:fill="auto"/>
            <w:noWrap/>
            <w:hideMark/>
          </w:tcPr>
          <w:p w14:paraId="105ADCEE"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15.6</w:t>
            </w:r>
          </w:p>
        </w:tc>
        <w:tc>
          <w:tcPr>
            <w:tcW w:w="1288" w:type="dxa"/>
            <w:shd w:val="clear" w:color="auto" w:fill="auto"/>
            <w:noWrap/>
            <w:hideMark/>
          </w:tcPr>
          <w:p w14:paraId="08DA51BC"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6</w:t>
            </w:r>
          </w:p>
        </w:tc>
        <w:tc>
          <w:tcPr>
            <w:tcW w:w="1413" w:type="dxa"/>
            <w:shd w:val="clear" w:color="auto" w:fill="auto"/>
            <w:noWrap/>
            <w:hideMark/>
          </w:tcPr>
          <w:p w14:paraId="3A7E4069"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3.0</w:t>
            </w:r>
          </w:p>
        </w:tc>
        <w:tc>
          <w:tcPr>
            <w:tcW w:w="1288" w:type="dxa"/>
            <w:shd w:val="clear" w:color="auto" w:fill="auto"/>
            <w:noWrap/>
            <w:hideMark/>
          </w:tcPr>
          <w:p w14:paraId="1879CEF1" w14:textId="77777777" w:rsidR="00103058" w:rsidRPr="00103058" w:rsidRDefault="00103058" w:rsidP="00103058">
            <w:pPr>
              <w:spacing w:after="0" w:line="240" w:lineRule="auto"/>
              <w:jc w:val="center"/>
              <w:rPr>
                <w:rFonts w:eastAsia="Times New Roman"/>
                <w:color w:val="000000"/>
              </w:rPr>
            </w:pPr>
            <w:r w:rsidRPr="00103058">
              <w:rPr>
                <w:rFonts w:eastAsia="Times New Roman"/>
                <w:color w:val="000000"/>
              </w:rPr>
              <w:t>1.2</w:t>
            </w:r>
          </w:p>
        </w:tc>
      </w:tr>
      <w:tr w:rsidR="00AA65FF" w:rsidRPr="00103058" w14:paraId="285E414D" w14:textId="77777777" w:rsidTr="00996AF6">
        <w:trPr>
          <w:trHeight w:val="340"/>
        </w:trPr>
        <w:tc>
          <w:tcPr>
            <w:tcW w:w="6440" w:type="dxa"/>
            <w:gridSpan w:val="5"/>
            <w:shd w:val="clear" w:color="auto" w:fill="auto"/>
          </w:tcPr>
          <w:p w14:paraId="53957960" w14:textId="333F4AC5" w:rsidR="00AA65FF" w:rsidRPr="00103058" w:rsidRDefault="00AA65FF" w:rsidP="00103058">
            <w:pPr>
              <w:spacing w:after="0" w:line="240" w:lineRule="auto"/>
              <w:jc w:val="center"/>
              <w:rPr>
                <w:rFonts w:eastAsia="Times New Roman"/>
                <w:color w:val="000000"/>
              </w:rPr>
            </w:pPr>
            <w:r w:rsidRPr="00AA65FF">
              <w:rPr>
                <w:rFonts w:eastAsia="Times New Roman"/>
                <w:color w:val="0033CC"/>
              </w:rPr>
              <w:t>Cohort 2</w:t>
            </w:r>
          </w:p>
        </w:tc>
      </w:tr>
      <w:tr w:rsidR="00AA65FF" w:rsidRPr="00103058" w14:paraId="582019A8" w14:textId="77777777" w:rsidTr="00655A6E">
        <w:trPr>
          <w:trHeight w:val="340"/>
        </w:trPr>
        <w:tc>
          <w:tcPr>
            <w:tcW w:w="1163" w:type="dxa"/>
            <w:shd w:val="clear" w:color="auto" w:fill="auto"/>
          </w:tcPr>
          <w:p w14:paraId="65C347E6" w14:textId="77777777" w:rsidR="00AA65FF" w:rsidRPr="00103058" w:rsidRDefault="00AA65FF" w:rsidP="00541EF8">
            <w:pPr>
              <w:spacing w:after="0" w:line="240" w:lineRule="auto"/>
              <w:rPr>
                <w:rFonts w:eastAsia="Times New Roman"/>
                <w:color w:val="000000"/>
              </w:rPr>
            </w:pPr>
            <w:r w:rsidRPr="00103058">
              <w:rPr>
                <w:rFonts w:eastAsia="Times New Roman"/>
                <w:color w:val="000000"/>
              </w:rPr>
              <w:t>Pre-SI</w:t>
            </w:r>
          </w:p>
        </w:tc>
        <w:tc>
          <w:tcPr>
            <w:tcW w:w="1288" w:type="dxa"/>
            <w:shd w:val="clear" w:color="auto" w:fill="auto"/>
            <w:noWrap/>
          </w:tcPr>
          <w:p w14:paraId="0FAA3B91" w14:textId="77777777" w:rsidR="00AA65FF" w:rsidRPr="00103058" w:rsidRDefault="00AA65FF" w:rsidP="00541EF8">
            <w:pPr>
              <w:spacing w:after="0" w:line="240" w:lineRule="auto"/>
              <w:jc w:val="center"/>
              <w:rPr>
                <w:rFonts w:eastAsia="Times New Roman"/>
                <w:color w:val="000000"/>
              </w:rPr>
            </w:pPr>
            <w:r w:rsidRPr="00103058">
              <w:rPr>
                <w:rFonts w:eastAsia="Times New Roman"/>
                <w:color w:val="000000"/>
              </w:rPr>
              <w:t>1</w:t>
            </w:r>
            <w:r>
              <w:rPr>
                <w:rFonts w:eastAsia="Times New Roman"/>
                <w:color w:val="000000"/>
              </w:rPr>
              <w:t>0.9</w:t>
            </w:r>
          </w:p>
        </w:tc>
        <w:tc>
          <w:tcPr>
            <w:tcW w:w="1288" w:type="dxa"/>
            <w:shd w:val="clear" w:color="auto" w:fill="auto"/>
            <w:noWrap/>
          </w:tcPr>
          <w:p w14:paraId="10BBEA91"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13</w:t>
            </w:r>
          </w:p>
        </w:tc>
        <w:tc>
          <w:tcPr>
            <w:tcW w:w="1413" w:type="dxa"/>
            <w:shd w:val="clear" w:color="auto" w:fill="auto"/>
            <w:noWrap/>
          </w:tcPr>
          <w:p w14:paraId="14227BB2"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4.4</w:t>
            </w:r>
          </w:p>
        </w:tc>
        <w:tc>
          <w:tcPr>
            <w:tcW w:w="1288" w:type="dxa"/>
            <w:shd w:val="clear" w:color="auto" w:fill="auto"/>
            <w:noWrap/>
          </w:tcPr>
          <w:p w14:paraId="09F005ED"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1.2</w:t>
            </w:r>
          </w:p>
        </w:tc>
      </w:tr>
      <w:tr w:rsidR="00AA65FF" w:rsidRPr="00103058" w14:paraId="04C851B1" w14:textId="77777777" w:rsidTr="00655A6E">
        <w:trPr>
          <w:trHeight w:val="340"/>
        </w:trPr>
        <w:tc>
          <w:tcPr>
            <w:tcW w:w="1163" w:type="dxa"/>
            <w:shd w:val="clear" w:color="auto" w:fill="auto"/>
          </w:tcPr>
          <w:p w14:paraId="62852396" w14:textId="77777777" w:rsidR="00AA65FF" w:rsidRPr="00103058" w:rsidRDefault="00AA65FF" w:rsidP="00541EF8">
            <w:pPr>
              <w:spacing w:after="0" w:line="240" w:lineRule="auto"/>
              <w:rPr>
                <w:rFonts w:eastAsia="Times New Roman"/>
                <w:color w:val="000000"/>
              </w:rPr>
            </w:pPr>
            <w:r>
              <w:rPr>
                <w:rFonts w:eastAsia="Times New Roman"/>
                <w:color w:val="000000"/>
              </w:rPr>
              <w:t>Post-SI</w:t>
            </w:r>
          </w:p>
        </w:tc>
        <w:tc>
          <w:tcPr>
            <w:tcW w:w="1288" w:type="dxa"/>
            <w:shd w:val="clear" w:color="auto" w:fill="auto"/>
            <w:noWrap/>
          </w:tcPr>
          <w:p w14:paraId="28B31E5D"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16.9</w:t>
            </w:r>
          </w:p>
        </w:tc>
        <w:tc>
          <w:tcPr>
            <w:tcW w:w="1288" w:type="dxa"/>
            <w:shd w:val="clear" w:color="auto" w:fill="auto"/>
            <w:noWrap/>
          </w:tcPr>
          <w:p w14:paraId="7AA0ACB3"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13</w:t>
            </w:r>
          </w:p>
        </w:tc>
        <w:tc>
          <w:tcPr>
            <w:tcW w:w="1413" w:type="dxa"/>
            <w:shd w:val="clear" w:color="auto" w:fill="auto"/>
            <w:noWrap/>
          </w:tcPr>
          <w:p w14:paraId="010E43D8"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4.9</w:t>
            </w:r>
          </w:p>
        </w:tc>
        <w:tc>
          <w:tcPr>
            <w:tcW w:w="1288" w:type="dxa"/>
            <w:shd w:val="clear" w:color="auto" w:fill="auto"/>
            <w:noWrap/>
          </w:tcPr>
          <w:p w14:paraId="1B4D6FD7" w14:textId="77777777" w:rsidR="00AA65FF" w:rsidRPr="00103058" w:rsidRDefault="00AA65FF" w:rsidP="00541EF8">
            <w:pPr>
              <w:spacing w:after="0" w:line="240" w:lineRule="auto"/>
              <w:jc w:val="center"/>
              <w:rPr>
                <w:rFonts w:eastAsia="Times New Roman"/>
                <w:color w:val="000000"/>
              </w:rPr>
            </w:pPr>
            <w:r>
              <w:rPr>
                <w:rFonts w:eastAsia="Times New Roman"/>
                <w:color w:val="000000"/>
              </w:rPr>
              <w:t>1.4</w:t>
            </w:r>
          </w:p>
        </w:tc>
      </w:tr>
      <w:tr w:rsidR="00AA65FF" w:rsidRPr="00103058" w14:paraId="139D959F" w14:textId="77777777" w:rsidTr="001F066F">
        <w:trPr>
          <w:trHeight w:val="340"/>
        </w:trPr>
        <w:tc>
          <w:tcPr>
            <w:tcW w:w="6440" w:type="dxa"/>
            <w:gridSpan w:val="5"/>
            <w:shd w:val="clear" w:color="auto" w:fill="auto"/>
          </w:tcPr>
          <w:p w14:paraId="5F2E7078" w14:textId="0073ABE1" w:rsidR="00AA65FF" w:rsidRPr="00103058" w:rsidRDefault="00AA65FF" w:rsidP="00103058">
            <w:pPr>
              <w:spacing w:after="0" w:line="240" w:lineRule="auto"/>
              <w:jc w:val="center"/>
              <w:rPr>
                <w:rFonts w:eastAsia="Times New Roman"/>
                <w:color w:val="000000"/>
              </w:rPr>
            </w:pPr>
            <w:r w:rsidRPr="00AA65FF">
              <w:rPr>
                <w:rFonts w:eastAsia="Times New Roman"/>
                <w:color w:val="0033CC"/>
              </w:rPr>
              <w:t>Cohort 3</w:t>
            </w:r>
          </w:p>
        </w:tc>
      </w:tr>
      <w:tr w:rsidR="00655A6E" w:rsidRPr="00103058" w14:paraId="4EEEC848" w14:textId="77777777" w:rsidTr="00655A6E">
        <w:trPr>
          <w:trHeight w:val="340"/>
        </w:trPr>
        <w:tc>
          <w:tcPr>
            <w:tcW w:w="1163" w:type="dxa"/>
            <w:shd w:val="clear" w:color="auto" w:fill="auto"/>
            <w:hideMark/>
          </w:tcPr>
          <w:p w14:paraId="755FA551" w14:textId="77777777" w:rsidR="00655A6E" w:rsidRPr="00103058" w:rsidRDefault="00655A6E" w:rsidP="00541EF8">
            <w:pPr>
              <w:spacing w:after="0" w:line="240" w:lineRule="auto"/>
              <w:rPr>
                <w:rFonts w:eastAsia="Times New Roman"/>
                <w:color w:val="000000"/>
              </w:rPr>
            </w:pPr>
            <w:r w:rsidRPr="00103058">
              <w:rPr>
                <w:rFonts w:eastAsia="Times New Roman"/>
                <w:color w:val="000000"/>
              </w:rPr>
              <w:t>Pre-SI</w:t>
            </w:r>
          </w:p>
        </w:tc>
        <w:tc>
          <w:tcPr>
            <w:tcW w:w="1288" w:type="dxa"/>
            <w:shd w:val="clear" w:color="auto" w:fill="auto"/>
            <w:noWrap/>
            <w:hideMark/>
          </w:tcPr>
          <w:p w14:paraId="71561C1E" w14:textId="77777777" w:rsidR="00655A6E" w:rsidRPr="00103058" w:rsidRDefault="00655A6E" w:rsidP="00541EF8">
            <w:pPr>
              <w:spacing w:after="0" w:line="240" w:lineRule="auto"/>
              <w:jc w:val="center"/>
              <w:rPr>
                <w:rFonts w:eastAsia="Times New Roman"/>
                <w:color w:val="000000"/>
              </w:rPr>
            </w:pPr>
            <w:r w:rsidRPr="00103058">
              <w:rPr>
                <w:rFonts w:eastAsia="Times New Roman"/>
                <w:color w:val="000000"/>
              </w:rPr>
              <w:t>1</w:t>
            </w:r>
            <w:r>
              <w:rPr>
                <w:rFonts w:eastAsia="Times New Roman"/>
                <w:color w:val="000000"/>
              </w:rPr>
              <w:t>5.1</w:t>
            </w:r>
          </w:p>
        </w:tc>
        <w:tc>
          <w:tcPr>
            <w:tcW w:w="1288" w:type="dxa"/>
            <w:shd w:val="clear" w:color="auto" w:fill="auto"/>
            <w:noWrap/>
            <w:hideMark/>
          </w:tcPr>
          <w:p w14:paraId="0F81A94E"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11</w:t>
            </w:r>
          </w:p>
        </w:tc>
        <w:tc>
          <w:tcPr>
            <w:tcW w:w="1413" w:type="dxa"/>
            <w:shd w:val="clear" w:color="auto" w:fill="auto"/>
            <w:noWrap/>
            <w:hideMark/>
          </w:tcPr>
          <w:p w14:paraId="7C48D94B"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3.4</w:t>
            </w:r>
          </w:p>
        </w:tc>
        <w:tc>
          <w:tcPr>
            <w:tcW w:w="1288" w:type="dxa"/>
            <w:shd w:val="clear" w:color="auto" w:fill="auto"/>
            <w:noWrap/>
            <w:hideMark/>
          </w:tcPr>
          <w:p w14:paraId="11C508C9"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1.0</w:t>
            </w:r>
          </w:p>
        </w:tc>
      </w:tr>
      <w:tr w:rsidR="00655A6E" w:rsidRPr="00103058" w14:paraId="67926AF0" w14:textId="77777777" w:rsidTr="00655A6E">
        <w:trPr>
          <w:trHeight w:val="340"/>
        </w:trPr>
        <w:tc>
          <w:tcPr>
            <w:tcW w:w="1163" w:type="dxa"/>
            <w:shd w:val="clear" w:color="auto" w:fill="auto"/>
            <w:hideMark/>
          </w:tcPr>
          <w:p w14:paraId="39865403" w14:textId="77777777" w:rsidR="00655A6E" w:rsidRPr="00103058" w:rsidRDefault="00655A6E" w:rsidP="00541EF8">
            <w:pPr>
              <w:spacing w:after="0" w:line="240" w:lineRule="auto"/>
              <w:rPr>
                <w:rFonts w:eastAsia="Times New Roman"/>
                <w:color w:val="000000"/>
              </w:rPr>
            </w:pPr>
            <w:r>
              <w:rPr>
                <w:rFonts w:eastAsia="Times New Roman"/>
                <w:color w:val="000000"/>
              </w:rPr>
              <w:t>Post-SI</w:t>
            </w:r>
          </w:p>
        </w:tc>
        <w:tc>
          <w:tcPr>
            <w:tcW w:w="1288" w:type="dxa"/>
            <w:shd w:val="clear" w:color="auto" w:fill="auto"/>
            <w:noWrap/>
            <w:hideMark/>
          </w:tcPr>
          <w:p w14:paraId="7151D978"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17.9</w:t>
            </w:r>
          </w:p>
        </w:tc>
        <w:tc>
          <w:tcPr>
            <w:tcW w:w="1288" w:type="dxa"/>
            <w:shd w:val="clear" w:color="auto" w:fill="auto"/>
            <w:noWrap/>
            <w:hideMark/>
          </w:tcPr>
          <w:p w14:paraId="6C10BD63"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11</w:t>
            </w:r>
          </w:p>
        </w:tc>
        <w:tc>
          <w:tcPr>
            <w:tcW w:w="1413" w:type="dxa"/>
            <w:shd w:val="clear" w:color="auto" w:fill="auto"/>
            <w:noWrap/>
            <w:hideMark/>
          </w:tcPr>
          <w:p w14:paraId="593E7547"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3.4</w:t>
            </w:r>
          </w:p>
        </w:tc>
        <w:tc>
          <w:tcPr>
            <w:tcW w:w="1288" w:type="dxa"/>
            <w:shd w:val="clear" w:color="auto" w:fill="auto"/>
            <w:noWrap/>
            <w:hideMark/>
          </w:tcPr>
          <w:p w14:paraId="4C25F770" w14:textId="77777777" w:rsidR="00655A6E" w:rsidRPr="00103058" w:rsidRDefault="00655A6E" w:rsidP="00541EF8">
            <w:pPr>
              <w:spacing w:after="0" w:line="240" w:lineRule="auto"/>
              <w:jc w:val="center"/>
              <w:rPr>
                <w:rFonts w:eastAsia="Times New Roman"/>
                <w:color w:val="000000"/>
              </w:rPr>
            </w:pPr>
            <w:r>
              <w:rPr>
                <w:rFonts w:eastAsia="Times New Roman"/>
                <w:color w:val="000000"/>
              </w:rPr>
              <w:t>1.0</w:t>
            </w:r>
          </w:p>
        </w:tc>
      </w:tr>
    </w:tbl>
    <w:p w14:paraId="6FF2C3A0" w14:textId="77777777" w:rsidR="00103058" w:rsidRDefault="00103058" w:rsidP="00F75A00"/>
    <w:p w14:paraId="5704EF32" w14:textId="43197693" w:rsidR="00103058" w:rsidRDefault="009E29C3" w:rsidP="00F75A00">
      <w:r>
        <w:t xml:space="preserve">When combining the 30 participants with eligible pre- and post-SI CT scores from all three cohorts, </w:t>
      </w:r>
      <w:r w:rsidR="008D5A24">
        <w:t xml:space="preserve">Table </w:t>
      </w:r>
      <w:r w:rsidR="00E665C5">
        <w:t>6</w:t>
      </w:r>
      <w:r w:rsidR="00E665C5">
        <w:t xml:space="preserve"> </w:t>
      </w:r>
      <w:r w:rsidR="008D5A24">
        <w:t xml:space="preserve">shows </w:t>
      </w:r>
      <w:r w:rsidR="00E25719">
        <w:t xml:space="preserve">that </w:t>
      </w:r>
      <w:r w:rsidR="00655A6E">
        <w:t xml:space="preserve">the overall </w:t>
      </w:r>
      <w:r w:rsidR="008D5A24">
        <w:t>increase displayed between the start and the end of the two-week long summer institute</w:t>
      </w:r>
      <w:r w:rsidR="00103058">
        <w:t xml:space="preserve"> </w:t>
      </w:r>
      <w:r w:rsidR="00E25719">
        <w:t xml:space="preserve">was </w:t>
      </w:r>
      <w:r w:rsidR="00103058">
        <w:t>statistically significant</w:t>
      </w:r>
      <w:r w:rsidR="008D5A24">
        <w:t xml:space="preserve">. Further, Hedge’s g of </w:t>
      </w:r>
      <w:r>
        <w:t>1.04</w:t>
      </w:r>
      <w:r w:rsidR="008D5A24">
        <w:t xml:space="preserve"> indicates a large effect size; namely, the pre-SI CT scores are one standard deviation lower than the post-SI scores.</w:t>
      </w:r>
    </w:p>
    <w:p w14:paraId="3DF3611F" w14:textId="16F0D234" w:rsidR="00103058" w:rsidRPr="00AA65FF" w:rsidRDefault="00AA65FF" w:rsidP="00103058">
      <w:pPr>
        <w:spacing w:after="0" w:line="276" w:lineRule="auto"/>
        <w:rPr>
          <w:i/>
          <w:iCs/>
          <w:color w:val="0033CC"/>
        </w:rPr>
      </w:pPr>
      <w:r>
        <w:rPr>
          <w:i/>
          <w:color w:val="0000FF"/>
        </w:rPr>
        <w:t xml:space="preserve">Table </w:t>
      </w:r>
      <w:r w:rsidR="00D050AA">
        <w:rPr>
          <w:i/>
          <w:color w:val="0000FF"/>
        </w:rPr>
        <w:t>6</w:t>
      </w:r>
      <w:r>
        <w:rPr>
          <w:i/>
          <w:color w:val="0000FF"/>
        </w:rPr>
        <w:t xml:space="preserve">. Comparison of </w:t>
      </w:r>
      <w:r w:rsidR="009E29C3">
        <w:rPr>
          <w:i/>
          <w:color w:val="0000FF"/>
        </w:rPr>
        <w:t xml:space="preserve">Teacher </w:t>
      </w:r>
      <w:r>
        <w:rPr>
          <w:i/>
          <w:color w:val="0000FF"/>
        </w:rPr>
        <w:t xml:space="preserve">CT knowledge </w:t>
      </w:r>
      <w:r w:rsidR="009E29C3">
        <w:rPr>
          <w:i/>
          <w:color w:val="0000FF"/>
        </w:rPr>
        <w:t>gained during Summer Institute</w:t>
      </w:r>
      <w:r w:rsidR="00103058" w:rsidRPr="00AA65FF">
        <w:rPr>
          <w:i/>
          <w:iCs/>
          <w:color w:val="0033CC"/>
        </w:rPr>
        <w:t xml:space="preserve"> </w:t>
      </w:r>
    </w:p>
    <w:p w14:paraId="18B38760" w14:textId="3F0955E3" w:rsidR="009E29C3" w:rsidRPr="00F75FE8" w:rsidRDefault="009E29C3" w:rsidP="00F75A00">
      <w:r w:rsidRPr="009E29C3">
        <w:rPr>
          <w:noProof/>
        </w:rPr>
        <w:drawing>
          <wp:inline distT="0" distB="0" distL="0" distR="0" wp14:anchorId="41E7FE0C" wp14:editId="0DA74C6F">
            <wp:extent cx="5943600" cy="63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35350"/>
                    </a:xfrm>
                    <a:prstGeom prst="rect">
                      <a:avLst/>
                    </a:prstGeom>
                    <a:noFill/>
                    <a:ln>
                      <a:noFill/>
                    </a:ln>
                  </pic:spPr>
                </pic:pic>
              </a:graphicData>
            </a:graphic>
          </wp:inline>
        </w:drawing>
      </w:r>
    </w:p>
    <w:p w14:paraId="3585C27F" w14:textId="77777777" w:rsidR="00284921" w:rsidRPr="00CC1D42" w:rsidRDefault="00284921" w:rsidP="00284921">
      <w:pPr>
        <w:spacing w:after="0" w:line="276" w:lineRule="auto"/>
      </w:pPr>
    </w:p>
    <w:p w14:paraId="5E51BDAE" w14:textId="77777777" w:rsidR="00284921" w:rsidRPr="00B4160F" w:rsidRDefault="008556DF" w:rsidP="00226802">
      <w:pPr>
        <w:pStyle w:val="ListParagraph"/>
        <w:numPr>
          <w:ilvl w:val="0"/>
          <w:numId w:val="1"/>
        </w:numPr>
        <w:rPr>
          <w:color w:val="0000FF"/>
          <w:sz w:val="28"/>
          <w:szCs w:val="28"/>
        </w:rPr>
      </w:pPr>
      <w:r w:rsidRPr="00B4160F">
        <w:rPr>
          <w:color w:val="0000FF"/>
          <w:sz w:val="28"/>
          <w:szCs w:val="28"/>
        </w:rPr>
        <w:t>Conclusions</w:t>
      </w:r>
    </w:p>
    <w:p w14:paraId="57A639A3" w14:textId="20F23161" w:rsidR="00284921" w:rsidRDefault="00284921" w:rsidP="00284921">
      <w:pPr>
        <w:spacing w:after="0" w:line="276" w:lineRule="auto"/>
      </w:pPr>
      <w:r>
        <w:t xml:space="preserve">Procedural suggestions recommended by the </w:t>
      </w:r>
      <w:r w:rsidR="00B4160F">
        <w:t xml:space="preserve">Cohort 1 </w:t>
      </w:r>
      <w:r>
        <w:t xml:space="preserve">teachers were reviewed by INITIATE leadership and, as a result, changes were made to the 2019 Summer Institute and the academic </w:t>
      </w:r>
      <w:r>
        <w:lastRenderedPageBreak/>
        <w:t xml:space="preserve">year follow up. Anecdotal comments from Acumen observers as well as INITIATE staff and teacher participants </w:t>
      </w:r>
      <w:r w:rsidR="00B4160F">
        <w:t>verified</w:t>
      </w:r>
      <w:r>
        <w:t xml:space="preserve"> that the changes improved the program</w:t>
      </w:r>
      <w:r w:rsidR="00B4160F">
        <w:t xml:space="preserve"> delivery</w:t>
      </w:r>
      <w:r>
        <w:t xml:space="preserve">. </w:t>
      </w:r>
      <w:r w:rsidR="00B4160F">
        <w:t>In 2020, the SI was modified to an online format. Teacher feedback confirmed that these changes still provided high quality professional development.</w:t>
      </w:r>
      <w:r w:rsidR="008965E7">
        <w:t xml:space="preserve"> Table 7 summarizes findings.</w:t>
      </w:r>
    </w:p>
    <w:p w14:paraId="5853F444" w14:textId="77777777" w:rsidR="008965E7" w:rsidRDefault="008965E7" w:rsidP="00284921">
      <w:pPr>
        <w:spacing w:after="0" w:line="276" w:lineRule="auto"/>
      </w:pPr>
    </w:p>
    <w:p w14:paraId="0E0B2F1E" w14:textId="2DD17DBD" w:rsidR="00284921" w:rsidRDefault="00284921" w:rsidP="00284921">
      <w:pPr>
        <w:spacing w:after="0" w:line="276" w:lineRule="auto"/>
        <w:ind w:firstLine="360"/>
      </w:pPr>
      <w:r>
        <w:t xml:space="preserve">Table </w:t>
      </w:r>
      <w:r w:rsidR="00DF0A42">
        <w:t>7</w:t>
      </w:r>
      <w:r>
        <w:t xml:space="preserve"> </w:t>
      </w:r>
      <w:r w:rsidR="00704C1B">
        <w:t>summarizes</w:t>
      </w:r>
      <w:r w:rsidR="00B4160F">
        <w:t xml:space="preserve"> </w:t>
      </w:r>
      <w:r w:rsidR="000848F2">
        <w:t>evaluation findings with the evaluation questions.</w:t>
      </w:r>
      <w:r w:rsidR="00E84171">
        <w:t xml:space="preserve"> </w:t>
      </w:r>
    </w:p>
    <w:p w14:paraId="12C6342B" w14:textId="77777777" w:rsidR="00F04ED9" w:rsidRDefault="00F04ED9" w:rsidP="00E6278B">
      <w:pPr>
        <w:spacing w:after="0" w:line="276" w:lineRule="auto"/>
      </w:pPr>
    </w:p>
    <w:p w14:paraId="5C4FD7CC" w14:textId="799578C9" w:rsidR="000848F2" w:rsidRPr="00692370" w:rsidRDefault="000848F2" w:rsidP="00284921">
      <w:pPr>
        <w:spacing w:after="0" w:line="276" w:lineRule="auto"/>
        <w:ind w:firstLine="360"/>
        <w:rPr>
          <w:i/>
          <w:iCs/>
          <w:color w:val="0033CC"/>
        </w:rPr>
      </w:pPr>
      <w:r w:rsidRPr="00692370">
        <w:rPr>
          <w:i/>
          <w:iCs/>
          <w:color w:val="0033CC"/>
        </w:rPr>
        <w:t>Table</w:t>
      </w:r>
      <w:r w:rsidR="008261AE">
        <w:rPr>
          <w:i/>
          <w:iCs/>
          <w:color w:val="0033CC"/>
        </w:rPr>
        <w:t>7</w:t>
      </w:r>
      <w:r w:rsidRPr="00692370">
        <w:rPr>
          <w:i/>
          <w:iCs/>
          <w:color w:val="0033CC"/>
        </w:rPr>
        <w:t>. Evaluation questions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08"/>
        <w:gridCol w:w="4842"/>
        <w:gridCol w:w="1310"/>
      </w:tblGrid>
      <w:tr w:rsidR="00692370" w:rsidRPr="000848F2" w14:paraId="707148DE" w14:textId="77777777" w:rsidTr="00CE6F92">
        <w:tc>
          <w:tcPr>
            <w:tcW w:w="3208" w:type="dxa"/>
          </w:tcPr>
          <w:p w14:paraId="6F120093" w14:textId="1CAEB810" w:rsidR="00692370" w:rsidRPr="00CE6F92" w:rsidRDefault="00692370" w:rsidP="00692370">
            <w:pPr>
              <w:jc w:val="center"/>
              <w:rPr>
                <w:iCs/>
                <w:color w:val="0000FF"/>
              </w:rPr>
            </w:pPr>
            <w:r w:rsidRPr="00CE6F92">
              <w:rPr>
                <w:iCs/>
                <w:color w:val="0000FF"/>
              </w:rPr>
              <w:t>Evaluation question</w:t>
            </w:r>
          </w:p>
        </w:tc>
        <w:tc>
          <w:tcPr>
            <w:tcW w:w="4842" w:type="dxa"/>
          </w:tcPr>
          <w:p w14:paraId="20ACF420" w14:textId="60B69337" w:rsidR="00692370" w:rsidRPr="00CE6F92" w:rsidRDefault="00692370" w:rsidP="00692370">
            <w:pPr>
              <w:spacing w:line="276" w:lineRule="auto"/>
              <w:jc w:val="center"/>
              <w:rPr>
                <w:iCs/>
                <w:color w:val="0000FF"/>
              </w:rPr>
            </w:pPr>
            <w:r w:rsidRPr="00CE6F92">
              <w:rPr>
                <w:iCs/>
                <w:color w:val="0000FF"/>
              </w:rPr>
              <w:t>Findings</w:t>
            </w:r>
          </w:p>
        </w:tc>
        <w:tc>
          <w:tcPr>
            <w:tcW w:w="1310" w:type="dxa"/>
          </w:tcPr>
          <w:p w14:paraId="261E38AF" w14:textId="231F0038" w:rsidR="00692370" w:rsidRPr="00CE6F92" w:rsidRDefault="00692370" w:rsidP="00692370">
            <w:pPr>
              <w:spacing w:line="276" w:lineRule="auto"/>
              <w:jc w:val="center"/>
              <w:rPr>
                <w:iCs/>
                <w:color w:val="0000FF"/>
              </w:rPr>
            </w:pPr>
            <w:r w:rsidRPr="00CE6F92">
              <w:rPr>
                <w:iCs/>
                <w:color w:val="0000FF"/>
              </w:rPr>
              <w:t>Conclusion</w:t>
            </w:r>
          </w:p>
        </w:tc>
      </w:tr>
      <w:tr w:rsidR="00692370" w:rsidRPr="000848F2" w14:paraId="6FC3E0F2" w14:textId="3727573E" w:rsidTr="00CE6F92">
        <w:tc>
          <w:tcPr>
            <w:tcW w:w="3208" w:type="dxa"/>
          </w:tcPr>
          <w:p w14:paraId="517FDB3B" w14:textId="75A4E1A1" w:rsidR="00692370" w:rsidRPr="000848F2" w:rsidRDefault="00692370" w:rsidP="000848F2">
            <w:pPr>
              <w:rPr>
                <w:sz w:val="20"/>
                <w:szCs w:val="20"/>
              </w:rPr>
            </w:pPr>
            <w:r w:rsidRPr="000848F2">
              <w:rPr>
                <w:sz w:val="20"/>
                <w:szCs w:val="20"/>
              </w:rPr>
              <w:t xml:space="preserve">1. Does INITIATE teacher PD improve teacher understanding of CT standards and PBL? </w:t>
            </w:r>
          </w:p>
        </w:tc>
        <w:tc>
          <w:tcPr>
            <w:tcW w:w="4842" w:type="dxa"/>
          </w:tcPr>
          <w:p w14:paraId="310A35EF" w14:textId="24BA4772" w:rsidR="00692370" w:rsidRPr="000848F2" w:rsidRDefault="00692370" w:rsidP="007D22FB">
            <w:pPr>
              <w:spacing w:line="276" w:lineRule="auto"/>
              <w:rPr>
                <w:sz w:val="20"/>
                <w:szCs w:val="20"/>
              </w:rPr>
            </w:pPr>
            <w:r>
              <w:rPr>
                <w:sz w:val="20"/>
                <w:szCs w:val="20"/>
              </w:rPr>
              <w:t xml:space="preserve">Analysis of the teacher CT test shows statistically significant gains in CT knowledge after participation in the program. Direct observations of teaching pre- and post-participation show small to moderate gains in the four factors of inquiry-based instruction as measured by the EQUIP. No conclusions can be drawn about Cohort 3 as direct observation was not possible and lesson plan examination showed no change. </w:t>
            </w:r>
          </w:p>
        </w:tc>
        <w:tc>
          <w:tcPr>
            <w:tcW w:w="1310" w:type="dxa"/>
          </w:tcPr>
          <w:p w14:paraId="7B4AB159" w14:textId="29E5024B" w:rsidR="00692370" w:rsidRDefault="00692370" w:rsidP="007D22FB">
            <w:pPr>
              <w:spacing w:line="276" w:lineRule="auto"/>
              <w:rPr>
                <w:sz w:val="20"/>
                <w:szCs w:val="20"/>
              </w:rPr>
            </w:pPr>
            <w:r>
              <w:rPr>
                <w:sz w:val="20"/>
                <w:szCs w:val="20"/>
              </w:rPr>
              <w:t>Yes</w:t>
            </w:r>
          </w:p>
        </w:tc>
      </w:tr>
      <w:tr w:rsidR="00692370" w:rsidRPr="000848F2" w14:paraId="691F81C1" w14:textId="510EEA72" w:rsidTr="00CE6F92">
        <w:tc>
          <w:tcPr>
            <w:tcW w:w="3208" w:type="dxa"/>
          </w:tcPr>
          <w:p w14:paraId="37B0C7D9" w14:textId="1E253309" w:rsidR="00692370" w:rsidRPr="000848F2" w:rsidRDefault="00F24DE1" w:rsidP="000848F2">
            <w:pPr>
              <w:rPr>
                <w:sz w:val="20"/>
                <w:szCs w:val="20"/>
              </w:rPr>
            </w:pPr>
            <w:r>
              <w:rPr>
                <w:sz w:val="20"/>
                <w:szCs w:val="20"/>
              </w:rPr>
              <w:t>2</w:t>
            </w:r>
            <w:r w:rsidR="00692370" w:rsidRPr="000848F2">
              <w:rPr>
                <w:sz w:val="20"/>
                <w:szCs w:val="20"/>
              </w:rPr>
              <w:t>. Do teachers integrate CT into their mathematics and computer science teaching?</w:t>
            </w:r>
          </w:p>
        </w:tc>
        <w:tc>
          <w:tcPr>
            <w:tcW w:w="4842" w:type="dxa"/>
          </w:tcPr>
          <w:p w14:paraId="13EF9478" w14:textId="1953AFEA" w:rsidR="00692370" w:rsidRDefault="00692370" w:rsidP="00284921">
            <w:pPr>
              <w:spacing w:line="276" w:lineRule="auto"/>
              <w:rPr>
                <w:sz w:val="20"/>
                <w:szCs w:val="20"/>
              </w:rPr>
            </w:pPr>
            <w:r>
              <w:rPr>
                <w:sz w:val="20"/>
                <w:szCs w:val="20"/>
              </w:rPr>
              <w:t xml:space="preserve">EQUIP findings support a positive integration of CT into teaching. </w:t>
            </w:r>
          </w:p>
        </w:tc>
        <w:tc>
          <w:tcPr>
            <w:tcW w:w="1310" w:type="dxa"/>
          </w:tcPr>
          <w:p w14:paraId="4444EC62" w14:textId="708660C1" w:rsidR="00692370" w:rsidRDefault="00692370" w:rsidP="00284921">
            <w:pPr>
              <w:spacing w:line="276" w:lineRule="auto"/>
              <w:rPr>
                <w:sz w:val="20"/>
                <w:szCs w:val="20"/>
              </w:rPr>
            </w:pPr>
            <w:r>
              <w:rPr>
                <w:sz w:val="20"/>
                <w:szCs w:val="20"/>
              </w:rPr>
              <w:t>Yes</w:t>
            </w:r>
          </w:p>
        </w:tc>
      </w:tr>
    </w:tbl>
    <w:p w14:paraId="48C7B763" w14:textId="77777777" w:rsidR="006279D6" w:rsidRDefault="006279D6" w:rsidP="00AA37C6"/>
    <w:p w14:paraId="03A4C12B" w14:textId="036D455F" w:rsidR="006279D6" w:rsidRPr="00E6278B" w:rsidRDefault="006279D6" w:rsidP="00E6278B">
      <w:pPr>
        <w:rPr>
          <w:color w:val="0000FF"/>
          <w:sz w:val="28"/>
          <w:szCs w:val="28"/>
        </w:rPr>
      </w:pPr>
      <w:r w:rsidRPr="00E6278B">
        <w:rPr>
          <w:color w:val="0000FF"/>
          <w:sz w:val="28"/>
          <w:szCs w:val="28"/>
        </w:rPr>
        <w:t>References</w:t>
      </w:r>
    </w:p>
    <w:p w14:paraId="58BA7198" w14:textId="5E5BA0D1" w:rsidR="006279D6" w:rsidRDefault="00B050F2" w:rsidP="009F2530">
      <w:pPr>
        <w:ind w:left="720" w:hanging="720"/>
      </w:pPr>
      <w:r w:rsidRPr="00B050F2">
        <w:t>Marshall, J. C., &amp; Horton, R. M. (2011). The relationship of teacher‐facilitated, inquiry‐based instruction to student higher‐order thinking. School Science and Mathematics, 111(3), 93-101.</w:t>
      </w:r>
    </w:p>
    <w:p w14:paraId="62C9F0D0" w14:textId="5D5CC082" w:rsidR="00E53B44" w:rsidRDefault="00E53B44" w:rsidP="00E84171">
      <w:pPr>
        <w:ind w:left="720" w:hanging="720"/>
      </w:pPr>
      <w:r>
        <w:rPr>
          <w:noProof/>
        </w:rPr>
        <w:drawing>
          <wp:anchor distT="0" distB="0" distL="114300" distR="114300" simplePos="0" relativeHeight="251671040" behindDoc="0" locked="0" layoutInCell="1" allowOverlap="1" wp14:anchorId="3D6D1E6C" wp14:editId="1E34DB4B">
            <wp:simplePos x="0" y="0"/>
            <wp:positionH relativeFrom="column">
              <wp:posOffset>0</wp:posOffset>
            </wp:positionH>
            <wp:positionV relativeFrom="paragraph">
              <wp:posOffset>292735</wp:posOffset>
            </wp:positionV>
            <wp:extent cx="2739390" cy="2054225"/>
            <wp:effectExtent l="0" t="318" r="3493" b="3492"/>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739390" cy="2054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53B44" w:rsidSect="004150C0">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42E5" w14:textId="77777777" w:rsidR="00657B36" w:rsidRDefault="00657B36" w:rsidP="004150C0">
      <w:pPr>
        <w:spacing w:after="0" w:line="240" w:lineRule="auto"/>
      </w:pPr>
      <w:r>
        <w:separator/>
      </w:r>
    </w:p>
  </w:endnote>
  <w:endnote w:type="continuationSeparator" w:id="0">
    <w:p w14:paraId="330DE56E" w14:textId="77777777" w:rsidR="00657B36" w:rsidRDefault="00657B36" w:rsidP="004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72115"/>
      <w:docPartObj>
        <w:docPartGallery w:val="Page Numbers (Bottom of Page)"/>
        <w:docPartUnique/>
      </w:docPartObj>
    </w:sdtPr>
    <w:sdtEndPr>
      <w:rPr>
        <w:noProof/>
      </w:rPr>
    </w:sdtEndPr>
    <w:sdtContent>
      <w:p w14:paraId="7EBFC56C" w14:textId="77777777" w:rsidR="00D679FA" w:rsidRDefault="00D679FA">
        <w:pPr>
          <w:pStyle w:val="Footer"/>
          <w:jc w:val="center"/>
        </w:pPr>
        <w:r>
          <w:fldChar w:fldCharType="begin"/>
        </w:r>
        <w:r>
          <w:instrText xml:space="preserve"> PAGE   \* MERGEFORMAT </w:instrText>
        </w:r>
        <w:r>
          <w:fldChar w:fldCharType="separate"/>
        </w:r>
        <w:r w:rsidR="009E29C3">
          <w:rPr>
            <w:noProof/>
          </w:rPr>
          <w:t>19</w:t>
        </w:r>
        <w:r>
          <w:rPr>
            <w:noProof/>
          </w:rPr>
          <w:fldChar w:fldCharType="end"/>
        </w:r>
      </w:p>
    </w:sdtContent>
  </w:sdt>
  <w:p w14:paraId="1E05BEB7" w14:textId="77777777" w:rsidR="00D679FA" w:rsidRDefault="00D6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DCBC" w14:textId="77777777" w:rsidR="00657B36" w:rsidRDefault="00657B36" w:rsidP="004150C0">
      <w:pPr>
        <w:spacing w:after="0" w:line="240" w:lineRule="auto"/>
      </w:pPr>
      <w:r>
        <w:separator/>
      </w:r>
    </w:p>
  </w:footnote>
  <w:footnote w:type="continuationSeparator" w:id="0">
    <w:p w14:paraId="1200D611" w14:textId="77777777" w:rsidR="00657B36" w:rsidRDefault="00657B36" w:rsidP="0041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F94"/>
    <w:multiLevelType w:val="hybridMultilevel"/>
    <w:tmpl w:val="C3D8C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A1D5A"/>
    <w:multiLevelType w:val="hybridMultilevel"/>
    <w:tmpl w:val="856AB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D0315"/>
    <w:multiLevelType w:val="hybridMultilevel"/>
    <w:tmpl w:val="4926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13A9C"/>
    <w:multiLevelType w:val="hybridMultilevel"/>
    <w:tmpl w:val="512456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07711"/>
    <w:multiLevelType w:val="hybridMultilevel"/>
    <w:tmpl w:val="54B4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B37BE"/>
    <w:multiLevelType w:val="hybridMultilevel"/>
    <w:tmpl w:val="CB60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34000"/>
    <w:multiLevelType w:val="hybridMultilevel"/>
    <w:tmpl w:val="C666D7D2"/>
    <w:lvl w:ilvl="0" w:tplc="367CB3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27857"/>
    <w:multiLevelType w:val="hybridMultilevel"/>
    <w:tmpl w:val="D464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246F6"/>
    <w:multiLevelType w:val="hybridMultilevel"/>
    <w:tmpl w:val="4926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B0039"/>
    <w:multiLevelType w:val="hybridMultilevel"/>
    <w:tmpl w:val="DE6A4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60129"/>
    <w:multiLevelType w:val="hybridMultilevel"/>
    <w:tmpl w:val="AC06E6EC"/>
    <w:lvl w:ilvl="0" w:tplc="779E8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990749">
    <w:abstractNumId w:val="10"/>
  </w:num>
  <w:num w:numId="2" w16cid:durableId="2095855085">
    <w:abstractNumId w:val="4"/>
  </w:num>
  <w:num w:numId="3" w16cid:durableId="765612412">
    <w:abstractNumId w:val="3"/>
  </w:num>
  <w:num w:numId="4" w16cid:durableId="2019893199">
    <w:abstractNumId w:val="0"/>
  </w:num>
  <w:num w:numId="5" w16cid:durableId="1181243095">
    <w:abstractNumId w:val="1"/>
  </w:num>
  <w:num w:numId="6" w16cid:durableId="1854025362">
    <w:abstractNumId w:val="8"/>
  </w:num>
  <w:num w:numId="7" w16cid:durableId="1629631222">
    <w:abstractNumId w:val="9"/>
  </w:num>
  <w:num w:numId="8" w16cid:durableId="416368340">
    <w:abstractNumId w:val="2"/>
  </w:num>
  <w:num w:numId="9" w16cid:durableId="979112386">
    <w:abstractNumId w:val="6"/>
  </w:num>
  <w:num w:numId="10" w16cid:durableId="1427271135">
    <w:abstractNumId w:val="5"/>
  </w:num>
  <w:num w:numId="11" w16cid:durableId="1547062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10"/>
    <w:rsid w:val="00000269"/>
    <w:rsid w:val="00014D05"/>
    <w:rsid w:val="00020974"/>
    <w:rsid w:val="00023BC9"/>
    <w:rsid w:val="00027194"/>
    <w:rsid w:val="00027971"/>
    <w:rsid w:val="0003378C"/>
    <w:rsid w:val="0005463D"/>
    <w:rsid w:val="00055EC4"/>
    <w:rsid w:val="00060C16"/>
    <w:rsid w:val="000811ED"/>
    <w:rsid w:val="0008339D"/>
    <w:rsid w:val="00083CBB"/>
    <w:rsid w:val="0008480D"/>
    <w:rsid w:val="000848F2"/>
    <w:rsid w:val="000B4FC4"/>
    <w:rsid w:val="000B5925"/>
    <w:rsid w:val="000B765D"/>
    <w:rsid w:val="000C3376"/>
    <w:rsid w:val="000D501D"/>
    <w:rsid w:val="000D5118"/>
    <w:rsid w:val="000F0F81"/>
    <w:rsid w:val="000F3377"/>
    <w:rsid w:val="00103058"/>
    <w:rsid w:val="001100B7"/>
    <w:rsid w:val="00110AFA"/>
    <w:rsid w:val="0012712F"/>
    <w:rsid w:val="00181FB4"/>
    <w:rsid w:val="001A2F8C"/>
    <w:rsid w:val="001A3F16"/>
    <w:rsid w:val="001B5B58"/>
    <w:rsid w:val="001B7B77"/>
    <w:rsid w:val="001C73A0"/>
    <w:rsid w:val="001E3930"/>
    <w:rsid w:val="001F5691"/>
    <w:rsid w:val="002246B6"/>
    <w:rsid w:val="00226802"/>
    <w:rsid w:val="00232067"/>
    <w:rsid w:val="00241B63"/>
    <w:rsid w:val="002602D0"/>
    <w:rsid w:val="00265B6D"/>
    <w:rsid w:val="00284921"/>
    <w:rsid w:val="00285800"/>
    <w:rsid w:val="002863AB"/>
    <w:rsid w:val="002A00D1"/>
    <w:rsid w:val="002C308B"/>
    <w:rsid w:val="002C7E4A"/>
    <w:rsid w:val="002E16F4"/>
    <w:rsid w:val="002E1B36"/>
    <w:rsid w:val="002F1200"/>
    <w:rsid w:val="002F1685"/>
    <w:rsid w:val="002F197F"/>
    <w:rsid w:val="002F6024"/>
    <w:rsid w:val="00312DE6"/>
    <w:rsid w:val="003259D3"/>
    <w:rsid w:val="00330F31"/>
    <w:rsid w:val="0033756F"/>
    <w:rsid w:val="0035394E"/>
    <w:rsid w:val="00375D07"/>
    <w:rsid w:val="00376561"/>
    <w:rsid w:val="00380B87"/>
    <w:rsid w:val="00387317"/>
    <w:rsid w:val="003A4DC4"/>
    <w:rsid w:val="003D5AB7"/>
    <w:rsid w:val="00400182"/>
    <w:rsid w:val="00403AA2"/>
    <w:rsid w:val="004079C3"/>
    <w:rsid w:val="00407BD2"/>
    <w:rsid w:val="00413C40"/>
    <w:rsid w:val="004150C0"/>
    <w:rsid w:val="00420CE9"/>
    <w:rsid w:val="004372C2"/>
    <w:rsid w:val="00455BAC"/>
    <w:rsid w:val="0046683C"/>
    <w:rsid w:val="004830F0"/>
    <w:rsid w:val="00483951"/>
    <w:rsid w:val="00487D4C"/>
    <w:rsid w:val="00495EA3"/>
    <w:rsid w:val="004A7734"/>
    <w:rsid w:val="004B067B"/>
    <w:rsid w:val="004C2F13"/>
    <w:rsid w:val="004C71CD"/>
    <w:rsid w:val="004D33DC"/>
    <w:rsid w:val="004D7B9C"/>
    <w:rsid w:val="004E1E58"/>
    <w:rsid w:val="004E2D20"/>
    <w:rsid w:val="004E6C47"/>
    <w:rsid w:val="004F13EC"/>
    <w:rsid w:val="004F460F"/>
    <w:rsid w:val="00517320"/>
    <w:rsid w:val="00526DCF"/>
    <w:rsid w:val="00545837"/>
    <w:rsid w:val="00556FD5"/>
    <w:rsid w:val="00557DBF"/>
    <w:rsid w:val="00560A35"/>
    <w:rsid w:val="0059040D"/>
    <w:rsid w:val="005974B7"/>
    <w:rsid w:val="005F249B"/>
    <w:rsid w:val="005F4B2D"/>
    <w:rsid w:val="005F6E10"/>
    <w:rsid w:val="006279D6"/>
    <w:rsid w:val="00647349"/>
    <w:rsid w:val="00655A6E"/>
    <w:rsid w:val="00657B36"/>
    <w:rsid w:val="0066227D"/>
    <w:rsid w:val="0066622C"/>
    <w:rsid w:val="00670E50"/>
    <w:rsid w:val="0067509E"/>
    <w:rsid w:val="00680A26"/>
    <w:rsid w:val="00685287"/>
    <w:rsid w:val="006874F7"/>
    <w:rsid w:val="00687572"/>
    <w:rsid w:val="00692370"/>
    <w:rsid w:val="00692C97"/>
    <w:rsid w:val="00692D6E"/>
    <w:rsid w:val="006A1F39"/>
    <w:rsid w:val="006A4F0A"/>
    <w:rsid w:val="006B18D7"/>
    <w:rsid w:val="006B5F89"/>
    <w:rsid w:val="006B69D2"/>
    <w:rsid w:val="006C4574"/>
    <w:rsid w:val="006D6864"/>
    <w:rsid w:val="006E3CF0"/>
    <w:rsid w:val="006F28A7"/>
    <w:rsid w:val="006F3DE5"/>
    <w:rsid w:val="00704C1B"/>
    <w:rsid w:val="007071AA"/>
    <w:rsid w:val="0072204B"/>
    <w:rsid w:val="007510E5"/>
    <w:rsid w:val="00763CEA"/>
    <w:rsid w:val="00763D8A"/>
    <w:rsid w:val="007748FA"/>
    <w:rsid w:val="007912F7"/>
    <w:rsid w:val="007B7A56"/>
    <w:rsid w:val="007C492A"/>
    <w:rsid w:val="007D22FB"/>
    <w:rsid w:val="007E0661"/>
    <w:rsid w:val="00810515"/>
    <w:rsid w:val="00822C55"/>
    <w:rsid w:val="008261AE"/>
    <w:rsid w:val="00826FE0"/>
    <w:rsid w:val="008556DF"/>
    <w:rsid w:val="008821FD"/>
    <w:rsid w:val="00893D52"/>
    <w:rsid w:val="008965E7"/>
    <w:rsid w:val="008A169C"/>
    <w:rsid w:val="008C7674"/>
    <w:rsid w:val="008D1F62"/>
    <w:rsid w:val="008D5A24"/>
    <w:rsid w:val="009037DA"/>
    <w:rsid w:val="0090585C"/>
    <w:rsid w:val="00913BFB"/>
    <w:rsid w:val="00933728"/>
    <w:rsid w:val="0094251F"/>
    <w:rsid w:val="00965D2B"/>
    <w:rsid w:val="00966C44"/>
    <w:rsid w:val="0097402A"/>
    <w:rsid w:val="009970F6"/>
    <w:rsid w:val="009C1A55"/>
    <w:rsid w:val="009C26B2"/>
    <w:rsid w:val="009D10E6"/>
    <w:rsid w:val="009D7E53"/>
    <w:rsid w:val="009E29C3"/>
    <w:rsid w:val="009E616A"/>
    <w:rsid w:val="009E6F45"/>
    <w:rsid w:val="009F2530"/>
    <w:rsid w:val="009F4898"/>
    <w:rsid w:val="00A06D39"/>
    <w:rsid w:val="00A12953"/>
    <w:rsid w:val="00A14A3D"/>
    <w:rsid w:val="00A21447"/>
    <w:rsid w:val="00A367AB"/>
    <w:rsid w:val="00A46FEB"/>
    <w:rsid w:val="00A54DD3"/>
    <w:rsid w:val="00A54F65"/>
    <w:rsid w:val="00A57C3E"/>
    <w:rsid w:val="00A62A16"/>
    <w:rsid w:val="00A67944"/>
    <w:rsid w:val="00AA37C6"/>
    <w:rsid w:val="00AA65FF"/>
    <w:rsid w:val="00AB384D"/>
    <w:rsid w:val="00B038A6"/>
    <w:rsid w:val="00B050F2"/>
    <w:rsid w:val="00B10D40"/>
    <w:rsid w:val="00B1742D"/>
    <w:rsid w:val="00B4160F"/>
    <w:rsid w:val="00B424F4"/>
    <w:rsid w:val="00B52D99"/>
    <w:rsid w:val="00B55F72"/>
    <w:rsid w:val="00B60A98"/>
    <w:rsid w:val="00B73F20"/>
    <w:rsid w:val="00B81C36"/>
    <w:rsid w:val="00B8359D"/>
    <w:rsid w:val="00B96D0A"/>
    <w:rsid w:val="00BB11A7"/>
    <w:rsid w:val="00BB54E5"/>
    <w:rsid w:val="00BB7A56"/>
    <w:rsid w:val="00BC354F"/>
    <w:rsid w:val="00BF109F"/>
    <w:rsid w:val="00C073CB"/>
    <w:rsid w:val="00C13A33"/>
    <w:rsid w:val="00C14DED"/>
    <w:rsid w:val="00C3068C"/>
    <w:rsid w:val="00C66D00"/>
    <w:rsid w:val="00C7552D"/>
    <w:rsid w:val="00C77744"/>
    <w:rsid w:val="00C779A1"/>
    <w:rsid w:val="00C82811"/>
    <w:rsid w:val="00C829D2"/>
    <w:rsid w:val="00C86B3E"/>
    <w:rsid w:val="00C94C41"/>
    <w:rsid w:val="00C96CF3"/>
    <w:rsid w:val="00CA525A"/>
    <w:rsid w:val="00CA681B"/>
    <w:rsid w:val="00CA7579"/>
    <w:rsid w:val="00CB721D"/>
    <w:rsid w:val="00CC1D42"/>
    <w:rsid w:val="00CE6F92"/>
    <w:rsid w:val="00CF27E3"/>
    <w:rsid w:val="00D050AA"/>
    <w:rsid w:val="00D12EEC"/>
    <w:rsid w:val="00D13A11"/>
    <w:rsid w:val="00D175B9"/>
    <w:rsid w:val="00D65C1B"/>
    <w:rsid w:val="00D66D04"/>
    <w:rsid w:val="00D679FA"/>
    <w:rsid w:val="00D72A0E"/>
    <w:rsid w:val="00D753D8"/>
    <w:rsid w:val="00D83301"/>
    <w:rsid w:val="00D86787"/>
    <w:rsid w:val="00D87D62"/>
    <w:rsid w:val="00D963AF"/>
    <w:rsid w:val="00DA1890"/>
    <w:rsid w:val="00DA2169"/>
    <w:rsid w:val="00DB762F"/>
    <w:rsid w:val="00DC1747"/>
    <w:rsid w:val="00DC669D"/>
    <w:rsid w:val="00DE3210"/>
    <w:rsid w:val="00DF0A42"/>
    <w:rsid w:val="00DF5521"/>
    <w:rsid w:val="00E0266C"/>
    <w:rsid w:val="00E05686"/>
    <w:rsid w:val="00E127B7"/>
    <w:rsid w:val="00E12E06"/>
    <w:rsid w:val="00E14E4C"/>
    <w:rsid w:val="00E16CAC"/>
    <w:rsid w:val="00E25719"/>
    <w:rsid w:val="00E32BA3"/>
    <w:rsid w:val="00E3315A"/>
    <w:rsid w:val="00E43038"/>
    <w:rsid w:val="00E4557A"/>
    <w:rsid w:val="00E53B44"/>
    <w:rsid w:val="00E56E90"/>
    <w:rsid w:val="00E6278B"/>
    <w:rsid w:val="00E63F88"/>
    <w:rsid w:val="00E665C5"/>
    <w:rsid w:val="00E84171"/>
    <w:rsid w:val="00E85C7D"/>
    <w:rsid w:val="00E91FCA"/>
    <w:rsid w:val="00EA371F"/>
    <w:rsid w:val="00EA65B1"/>
    <w:rsid w:val="00EB29A5"/>
    <w:rsid w:val="00ED75E4"/>
    <w:rsid w:val="00EF14FF"/>
    <w:rsid w:val="00EF28E2"/>
    <w:rsid w:val="00F04ED9"/>
    <w:rsid w:val="00F13A6A"/>
    <w:rsid w:val="00F24DE1"/>
    <w:rsid w:val="00F266FE"/>
    <w:rsid w:val="00F26C11"/>
    <w:rsid w:val="00F270AE"/>
    <w:rsid w:val="00F3074C"/>
    <w:rsid w:val="00F33A20"/>
    <w:rsid w:val="00F366A2"/>
    <w:rsid w:val="00F36FAA"/>
    <w:rsid w:val="00F44C61"/>
    <w:rsid w:val="00F45BE0"/>
    <w:rsid w:val="00F64803"/>
    <w:rsid w:val="00F700FD"/>
    <w:rsid w:val="00F75A00"/>
    <w:rsid w:val="00F75FE8"/>
    <w:rsid w:val="00F80819"/>
    <w:rsid w:val="00FB211E"/>
    <w:rsid w:val="00FB7C1C"/>
    <w:rsid w:val="00FC2F6D"/>
    <w:rsid w:val="00FD718A"/>
    <w:rsid w:val="00FE028E"/>
    <w:rsid w:val="00FE1BBC"/>
    <w:rsid w:val="00FE59C9"/>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659E"/>
  <w15:chartTrackingRefBased/>
  <w15:docId w15:val="{2616A927-1D7C-41AF-B80F-894B45D2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E10"/>
    <w:pPr>
      <w:tabs>
        <w:tab w:val="center" w:pos="4680"/>
        <w:tab w:val="right" w:pos="9360"/>
      </w:tabs>
      <w:spacing w:after="0" w:line="240" w:lineRule="auto"/>
    </w:pPr>
    <w:rPr>
      <w:rFonts w:cstheme="minorBidi"/>
      <w:szCs w:val="22"/>
    </w:rPr>
  </w:style>
  <w:style w:type="character" w:customStyle="1" w:styleId="HeaderChar">
    <w:name w:val="Header Char"/>
    <w:basedOn w:val="DefaultParagraphFont"/>
    <w:link w:val="Header"/>
    <w:uiPriority w:val="99"/>
    <w:rsid w:val="005F6E10"/>
    <w:rPr>
      <w:rFonts w:cstheme="minorBidi"/>
      <w:szCs w:val="22"/>
    </w:rPr>
  </w:style>
  <w:style w:type="paragraph" w:styleId="ListParagraph">
    <w:name w:val="List Paragraph"/>
    <w:basedOn w:val="Normal"/>
    <w:uiPriority w:val="34"/>
    <w:qFormat/>
    <w:rsid w:val="006B5F89"/>
    <w:pPr>
      <w:ind w:left="720"/>
      <w:contextualSpacing/>
    </w:pPr>
  </w:style>
  <w:style w:type="paragraph" w:styleId="Footer">
    <w:name w:val="footer"/>
    <w:basedOn w:val="Normal"/>
    <w:link w:val="FooterChar"/>
    <w:uiPriority w:val="99"/>
    <w:unhideWhenUsed/>
    <w:rsid w:val="0041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0C0"/>
  </w:style>
  <w:style w:type="character" w:styleId="CommentReference">
    <w:name w:val="annotation reference"/>
    <w:basedOn w:val="DefaultParagraphFont"/>
    <w:uiPriority w:val="99"/>
    <w:semiHidden/>
    <w:unhideWhenUsed/>
    <w:rsid w:val="00F270AE"/>
    <w:rPr>
      <w:sz w:val="16"/>
      <w:szCs w:val="16"/>
    </w:rPr>
  </w:style>
  <w:style w:type="paragraph" w:styleId="CommentText">
    <w:name w:val="annotation text"/>
    <w:basedOn w:val="Normal"/>
    <w:link w:val="CommentTextChar"/>
    <w:uiPriority w:val="99"/>
    <w:semiHidden/>
    <w:unhideWhenUsed/>
    <w:rsid w:val="00F270AE"/>
    <w:pPr>
      <w:spacing w:line="240" w:lineRule="auto"/>
    </w:pPr>
    <w:rPr>
      <w:sz w:val="20"/>
      <w:szCs w:val="20"/>
    </w:rPr>
  </w:style>
  <w:style w:type="character" w:customStyle="1" w:styleId="CommentTextChar">
    <w:name w:val="Comment Text Char"/>
    <w:basedOn w:val="DefaultParagraphFont"/>
    <w:link w:val="CommentText"/>
    <w:uiPriority w:val="99"/>
    <w:semiHidden/>
    <w:rsid w:val="00F270AE"/>
    <w:rPr>
      <w:sz w:val="20"/>
      <w:szCs w:val="20"/>
    </w:rPr>
  </w:style>
  <w:style w:type="paragraph" w:styleId="CommentSubject">
    <w:name w:val="annotation subject"/>
    <w:basedOn w:val="CommentText"/>
    <w:next w:val="CommentText"/>
    <w:link w:val="CommentSubjectChar"/>
    <w:uiPriority w:val="99"/>
    <w:semiHidden/>
    <w:unhideWhenUsed/>
    <w:rsid w:val="00F270AE"/>
    <w:rPr>
      <w:b/>
      <w:bCs/>
    </w:rPr>
  </w:style>
  <w:style w:type="character" w:customStyle="1" w:styleId="CommentSubjectChar">
    <w:name w:val="Comment Subject Char"/>
    <w:basedOn w:val="CommentTextChar"/>
    <w:link w:val="CommentSubject"/>
    <w:uiPriority w:val="99"/>
    <w:semiHidden/>
    <w:rsid w:val="00F270AE"/>
    <w:rPr>
      <w:b/>
      <w:bCs/>
      <w:sz w:val="20"/>
      <w:szCs w:val="20"/>
    </w:rPr>
  </w:style>
  <w:style w:type="paragraph" w:styleId="BalloonText">
    <w:name w:val="Balloon Text"/>
    <w:basedOn w:val="Normal"/>
    <w:link w:val="BalloonTextChar"/>
    <w:uiPriority w:val="99"/>
    <w:semiHidden/>
    <w:unhideWhenUsed/>
    <w:rsid w:val="00F2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AE"/>
    <w:rPr>
      <w:rFonts w:ascii="Segoe UI" w:hAnsi="Segoe UI" w:cs="Segoe UI"/>
      <w:sz w:val="18"/>
      <w:szCs w:val="18"/>
    </w:rPr>
  </w:style>
  <w:style w:type="character" w:styleId="Hyperlink">
    <w:name w:val="Hyperlink"/>
    <w:basedOn w:val="DefaultParagraphFont"/>
    <w:uiPriority w:val="99"/>
    <w:unhideWhenUsed/>
    <w:rsid w:val="00E91FCA"/>
    <w:rPr>
      <w:color w:val="0563C1" w:themeColor="hyperlink"/>
      <w:u w:val="single"/>
    </w:rPr>
  </w:style>
  <w:style w:type="character" w:customStyle="1" w:styleId="UnresolvedMention1">
    <w:name w:val="Unresolved Mention1"/>
    <w:basedOn w:val="DefaultParagraphFont"/>
    <w:uiPriority w:val="99"/>
    <w:semiHidden/>
    <w:unhideWhenUsed/>
    <w:rsid w:val="00E91FCA"/>
    <w:rPr>
      <w:color w:val="605E5C"/>
      <w:shd w:val="clear" w:color="auto" w:fill="E1DFDD"/>
    </w:rPr>
  </w:style>
  <w:style w:type="table" w:styleId="TableGrid">
    <w:name w:val="Table Grid"/>
    <w:basedOn w:val="TableNormal"/>
    <w:uiPriority w:val="39"/>
    <w:unhideWhenUsed/>
    <w:rsid w:val="0054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691"/>
    <w:rPr>
      <w:color w:val="954F72" w:themeColor="followedHyperlink"/>
      <w:u w:val="single"/>
    </w:rPr>
  </w:style>
  <w:style w:type="paragraph" w:styleId="Revision">
    <w:name w:val="Revision"/>
    <w:hidden/>
    <w:uiPriority w:val="99"/>
    <w:semiHidden/>
    <w:rsid w:val="00027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814">
      <w:bodyDiv w:val="1"/>
      <w:marLeft w:val="0"/>
      <w:marRight w:val="0"/>
      <w:marTop w:val="0"/>
      <w:marBottom w:val="0"/>
      <w:divBdr>
        <w:top w:val="none" w:sz="0" w:space="0" w:color="auto"/>
        <w:left w:val="none" w:sz="0" w:space="0" w:color="auto"/>
        <w:bottom w:val="none" w:sz="0" w:space="0" w:color="auto"/>
        <w:right w:val="none" w:sz="0" w:space="0" w:color="auto"/>
      </w:divBdr>
    </w:div>
    <w:div w:id="45107594">
      <w:bodyDiv w:val="1"/>
      <w:marLeft w:val="0"/>
      <w:marRight w:val="0"/>
      <w:marTop w:val="0"/>
      <w:marBottom w:val="0"/>
      <w:divBdr>
        <w:top w:val="none" w:sz="0" w:space="0" w:color="auto"/>
        <w:left w:val="none" w:sz="0" w:space="0" w:color="auto"/>
        <w:bottom w:val="none" w:sz="0" w:space="0" w:color="auto"/>
        <w:right w:val="none" w:sz="0" w:space="0" w:color="auto"/>
      </w:divBdr>
    </w:div>
    <w:div w:id="131943695">
      <w:bodyDiv w:val="1"/>
      <w:marLeft w:val="0"/>
      <w:marRight w:val="0"/>
      <w:marTop w:val="0"/>
      <w:marBottom w:val="0"/>
      <w:divBdr>
        <w:top w:val="none" w:sz="0" w:space="0" w:color="auto"/>
        <w:left w:val="none" w:sz="0" w:space="0" w:color="auto"/>
        <w:bottom w:val="none" w:sz="0" w:space="0" w:color="auto"/>
        <w:right w:val="none" w:sz="0" w:space="0" w:color="auto"/>
      </w:divBdr>
    </w:div>
    <w:div w:id="200558335">
      <w:bodyDiv w:val="1"/>
      <w:marLeft w:val="0"/>
      <w:marRight w:val="0"/>
      <w:marTop w:val="0"/>
      <w:marBottom w:val="0"/>
      <w:divBdr>
        <w:top w:val="none" w:sz="0" w:space="0" w:color="auto"/>
        <w:left w:val="none" w:sz="0" w:space="0" w:color="auto"/>
        <w:bottom w:val="none" w:sz="0" w:space="0" w:color="auto"/>
        <w:right w:val="none" w:sz="0" w:space="0" w:color="auto"/>
      </w:divBdr>
    </w:div>
    <w:div w:id="599534932">
      <w:bodyDiv w:val="1"/>
      <w:marLeft w:val="0"/>
      <w:marRight w:val="0"/>
      <w:marTop w:val="0"/>
      <w:marBottom w:val="0"/>
      <w:divBdr>
        <w:top w:val="none" w:sz="0" w:space="0" w:color="auto"/>
        <w:left w:val="none" w:sz="0" w:space="0" w:color="auto"/>
        <w:bottom w:val="none" w:sz="0" w:space="0" w:color="auto"/>
        <w:right w:val="none" w:sz="0" w:space="0" w:color="auto"/>
      </w:divBdr>
    </w:div>
    <w:div w:id="611282496">
      <w:bodyDiv w:val="1"/>
      <w:marLeft w:val="0"/>
      <w:marRight w:val="0"/>
      <w:marTop w:val="0"/>
      <w:marBottom w:val="0"/>
      <w:divBdr>
        <w:top w:val="none" w:sz="0" w:space="0" w:color="auto"/>
        <w:left w:val="none" w:sz="0" w:space="0" w:color="auto"/>
        <w:bottom w:val="none" w:sz="0" w:space="0" w:color="auto"/>
        <w:right w:val="none" w:sz="0" w:space="0" w:color="auto"/>
      </w:divBdr>
    </w:div>
    <w:div w:id="623922237">
      <w:bodyDiv w:val="1"/>
      <w:marLeft w:val="0"/>
      <w:marRight w:val="0"/>
      <w:marTop w:val="0"/>
      <w:marBottom w:val="0"/>
      <w:divBdr>
        <w:top w:val="none" w:sz="0" w:space="0" w:color="auto"/>
        <w:left w:val="none" w:sz="0" w:space="0" w:color="auto"/>
        <w:bottom w:val="none" w:sz="0" w:space="0" w:color="auto"/>
        <w:right w:val="none" w:sz="0" w:space="0" w:color="auto"/>
      </w:divBdr>
    </w:div>
    <w:div w:id="757672313">
      <w:bodyDiv w:val="1"/>
      <w:marLeft w:val="0"/>
      <w:marRight w:val="0"/>
      <w:marTop w:val="0"/>
      <w:marBottom w:val="0"/>
      <w:divBdr>
        <w:top w:val="none" w:sz="0" w:space="0" w:color="auto"/>
        <w:left w:val="none" w:sz="0" w:space="0" w:color="auto"/>
        <w:bottom w:val="none" w:sz="0" w:space="0" w:color="auto"/>
        <w:right w:val="none" w:sz="0" w:space="0" w:color="auto"/>
      </w:divBdr>
    </w:div>
    <w:div w:id="788472239">
      <w:bodyDiv w:val="1"/>
      <w:marLeft w:val="0"/>
      <w:marRight w:val="0"/>
      <w:marTop w:val="0"/>
      <w:marBottom w:val="0"/>
      <w:divBdr>
        <w:top w:val="none" w:sz="0" w:space="0" w:color="auto"/>
        <w:left w:val="none" w:sz="0" w:space="0" w:color="auto"/>
        <w:bottom w:val="none" w:sz="0" w:space="0" w:color="auto"/>
        <w:right w:val="none" w:sz="0" w:space="0" w:color="auto"/>
      </w:divBdr>
    </w:div>
    <w:div w:id="832375587">
      <w:bodyDiv w:val="1"/>
      <w:marLeft w:val="0"/>
      <w:marRight w:val="0"/>
      <w:marTop w:val="0"/>
      <w:marBottom w:val="0"/>
      <w:divBdr>
        <w:top w:val="none" w:sz="0" w:space="0" w:color="auto"/>
        <w:left w:val="none" w:sz="0" w:space="0" w:color="auto"/>
        <w:bottom w:val="none" w:sz="0" w:space="0" w:color="auto"/>
        <w:right w:val="none" w:sz="0" w:space="0" w:color="auto"/>
      </w:divBdr>
    </w:div>
    <w:div w:id="837043197">
      <w:bodyDiv w:val="1"/>
      <w:marLeft w:val="0"/>
      <w:marRight w:val="0"/>
      <w:marTop w:val="0"/>
      <w:marBottom w:val="0"/>
      <w:divBdr>
        <w:top w:val="none" w:sz="0" w:space="0" w:color="auto"/>
        <w:left w:val="none" w:sz="0" w:space="0" w:color="auto"/>
        <w:bottom w:val="none" w:sz="0" w:space="0" w:color="auto"/>
        <w:right w:val="none" w:sz="0" w:space="0" w:color="auto"/>
      </w:divBdr>
    </w:div>
    <w:div w:id="848301474">
      <w:bodyDiv w:val="1"/>
      <w:marLeft w:val="0"/>
      <w:marRight w:val="0"/>
      <w:marTop w:val="0"/>
      <w:marBottom w:val="0"/>
      <w:divBdr>
        <w:top w:val="none" w:sz="0" w:space="0" w:color="auto"/>
        <w:left w:val="none" w:sz="0" w:space="0" w:color="auto"/>
        <w:bottom w:val="none" w:sz="0" w:space="0" w:color="auto"/>
        <w:right w:val="none" w:sz="0" w:space="0" w:color="auto"/>
      </w:divBdr>
    </w:div>
    <w:div w:id="1049525169">
      <w:bodyDiv w:val="1"/>
      <w:marLeft w:val="0"/>
      <w:marRight w:val="0"/>
      <w:marTop w:val="0"/>
      <w:marBottom w:val="0"/>
      <w:divBdr>
        <w:top w:val="none" w:sz="0" w:space="0" w:color="auto"/>
        <w:left w:val="none" w:sz="0" w:space="0" w:color="auto"/>
        <w:bottom w:val="none" w:sz="0" w:space="0" w:color="auto"/>
        <w:right w:val="none" w:sz="0" w:space="0" w:color="auto"/>
      </w:divBdr>
    </w:div>
    <w:div w:id="1066146000">
      <w:bodyDiv w:val="1"/>
      <w:marLeft w:val="0"/>
      <w:marRight w:val="0"/>
      <w:marTop w:val="0"/>
      <w:marBottom w:val="0"/>
      <w:divBdr>
        <w:top w:val="none" w:sz="0" w:space="0" w:color="auto"/>
        <w:left w:val="none" w:sz="0" w:space="0" w:color="auto"/>
        <w:bottom w:val="none" w:sz="0" w:space="0" w:color="auto"/>
        <w:right w:val="none" w:sz="0" w:space="0" w:color="auto"/>
      </w:divBdr>
    </w:div>
    <w:div w:id="1070420113">
      <w:bodyDiv w:val="1"/>
      <w:marLeft w:val="0"/>
      <w:marRight w:val="0"/>
      <w:marTop w:val="0"/>
      <w:marBottom w:val="0"/>
      <w:divBdr>
        <w:top w:val="none" w:sz="0" w:space="0" w:color="auto"/>
        <w:left w:val="none" w:sz="0" w:space="0" w:color="auto"/>
        <w:bottom w:val="none" w:sz="0" w:space="0" w:color="auto"/>
        <w:right w:val="none" w:sz="0" w:space="0" w:color="auto"/>
      </w:divBdr>
    </w:div>
    <w:div w:id="1097558386">
      <w:bodyDiv w:val="1"/>
      <w:marLeft w:val="0"/>
      <w:marRight w:val="0"/>
      <w:marTop w:val="0"/>
      <w:marBottom w:val="0"/>
      <w:divBdr>
        <w:top w:val="none" w:sz="0" w:space="0" w:color="auto"/>
        <w:left w:val="none" w:sz="0" w:space="0" w:color="auto"/>
        <w:bottom w:val="none" w:sz="0" w:space="0" w:color="auto"/>
        <w:right w:val="none" w:sz="0" w:space="0" w:color="auto"/>
      </w:divBdr>
    </w:div>
    <w:div w:id="1222909207">
      <w:bodyDiv w:val="1"/>
      <w:marLeft w:val="0"/>
      <w:marRight w:val="0"/>
      <w:marTop w:val="0"/>
      <w:marBottom w:val="0"/>
      <w:divBdr>
        <w:top w:val="none" w:sz="0" w:space="0" w:color="auto"/>
        <w:left w:val="none" w:sz="0" w:space="0" w:color="auto"/>
        <w:bottom w:val="none" w:sz="0" w:space="0" w:color="auto"/>
        <w:right w:val="none" w:sz="0" w:space="0" w:color="auto"/>
      </w:divBdr>
    </w:div>
    <w:div w:id="1278100915">
      <w:bodyDiv w:val="1"/>
      <w:marLeft w:val="0"/>
      <w:marRight w:val="0"/>
      <w:marTop w:val="0"/>
      <w:marBottom w:val="0"/>
      <w:divBdr>
        <w:top w:val="none" w:sz="0" w:space="0" w:color="auto"/>
        <w:left w:val="none" w:sz="0" w:space="0" w:color="auto"/>
        <w:bottom w:val="none" w:sz="0" w:space="0" w:color="auto"/>
        <w:right w:val="none" w:sz="0" w:space="0" w:color="auto"/>
      </w:divBdr>
    </w:div>
    <w:div w:id="1308120902">
      <w:bodyDiv w:val="1"/>
      <w:marLeft w:val="0"/>
      <w:marRight w:val="0"/>
      <w:marTop w:val="0"/>
      <w:marBottom w:val="0"/>
      <w:divBdr>
        <w:top w:val="none" w:sz="0" w:space="0" w:color="auto"/>
        <w:left w:val="none" w:sz="0" w:space="0" w:color="auto"/>
        <w:bottom w:val="none" w:sz="0" w:space="0" w:color="auto"/>
        <w:right w:val="none" w:sz="0" w:space="0" w:color="auto"/>
      </w:divBdr>
    </w:div>
    <w:div w:id="1403285774">
      <w:bodyDiv w:val="1"/>
      <w:marLeft w:val="0"/>
      <w:marRight w:val="0"/>
      <w:marTop w:val="0"/>
      <w:marBottom w:val="0"/>
      <w:divBdr>
        <w:top w:val="none" w:sz="0" w:space="0" w:color="auto"/>
        <w:left w:val="none" w:sz="0" w:space="0" w:color="auto"/>
        <w:bottom w:val="none" w:sz="0" w:space="0" w:color="auto"/>
        <w:right w:val="none" w:sz="0" w:space="0" w:color="auto"/>
      </w:divBdr>
    </w:div>
    <w:div w:id="1409418624">
      <w:bodyDiv w:val="1"/>
      <w:marLeft w:val="0"/>
      <w:marRight w:val="0"/>
      <w:marTop w:val="0"/>
      <w:marBottom w:val="0"/>
      <w:divBdr>
        <w:top w:val="none" w:sz="0" w:space="0" w:color="auto"/>
        <w:left w:val="none" w:sz="0" w:space="0" w:color="auto"/>
        <w:bottom w:val="none" w:sz="0" w:space="0" w:color="auto"/>
        <w:right w:val="none" w:sz="0" w:space="0" w:color="auto"/>
      </w:divBdr>
    </w:div>
    <w:div w:id="1422944257">
      <w:bodyDiv w:val="1"/>
      <w:marLeft w:val="0"/>
      <w:marRight w:val="0"/>
      <w:marTop w:val="0"/>
      <w:marBottom w:val="0"/>
      <w:divBdr>
        <w:top w:val="none" w:sz="0" w:space="0" w:color="auto"/>
        <w:left w:val="none" w:sz="0" w:space="0" w:color="auto"/>
        <w:bottom w:val="none" w:sz="0" w:space="0" w:color="auto"/>
        <w:right w:val="none" w:sz="0" w:space="0" w:color="auto"/>
      </w:divBdr>
    </w:div>
    <w:div w:id="1635330725">
      <w:bodyDiv w:val="1"/>
      <w:marLeft w:val="0"/>
      <w:marRight w:val="0"/>
      <w:marTop w:val="0"/>
      <w:marBottom w:val="0"/>
      <w:divBdr>
        <w:top w:val="none" w:sz="0" w:space="0" w:color="auto"/>
        <w:left w:val="none" w:sz="0" w:space="0" w:color="auto"/>
        <w:bottom w:val="none" w:sz="0" w:space="0" w:color="auto"/>
        <w:right w:val="none" w:sz="0" w:space="0" w:color="auto"/>
      </w:divBdr>
    </w:div>
    <w:div w:id="1674333531">
      <w:bodyDiv w:val="1"/>
      <w:marLeft w:val="0"/>
      <w:marRight w:val="0"/>
      <w:marTop w:val="0"/>
      <w:marBottom w:val="0"/>
      <w:divBdr>
        <w:top w:val="none" w:sz="0" w:space="0" w:color="auto"/>
        <w:left w:val="none" w:sz="0" w:space="0" w:color="auto"/>
        <w:bottom w:val="none" w:sz="0" w:space="0" w:color="auto"/>
        <w:right w:val="none" w:sz="0" w:space="0" w:color="auto"/>
      </w:divBdr>
    </w:div>
    <w:div w:id="1699744008">
      <w:bodyDiv w:val="1"/>
      <w:marLeft w:val="0"/>
      <w:marRight w:val="0"/>
      <w:marTop w:val="0"/>
      <w:marBottom w:val="0"/>
      <w:divBdr>
        <w:top w:val="none" w:sz="0" w:space="0" w:color="auto"/>
        <w:left w:val="none" w:sz="0" w:space="0" w:color="auto"/>
        <w:bottom w:val="none" w:sz="0" w:space="0" w:color="auto"/>
        <w:right w:val="none" w:sz="0" w:space="0" w:color="auto"/>
      </w:divBdr>
    </w:div>
    <w:div w:id="1929457518">
      <w:bodyDiv w:val="1"/>
      <w:marLeft w:val="0"/>
      <w:marRight w:val="0"/>
      <w:marTop w:val="0"/>
      <w:marBottom w:val="0"/>
      <w:divBdr>
        <w:top w:val="none" w:sz="0" w:space="0" w:color="auto"/>
        <w:left w:val="none" w:sz="0" w:space="0" w:color="auto"/>
        <w:bottom w:val="none" w:sz="0" w:space="0" w:color="auto"/>
        <w:right w:val="none" w:sz="0" w:space="0" w:color="auto"/>
      </w:divBdr>
    </w:div>
    <w:div w:id="2021002784">
      <w:bodyDiv w:val="1"/>
      <w:marLeft w:val="0"/>
      <w:marRight w:val="0"/>
      <w:marTop w:val="0"/>
      <w:marBottom w:val="0"/>
      <w:divBdr>
        <w:top w:val="none" w:sz="0" w:space="0" w:color="auto"/>
        <w:left w:val="none" w:sz="0" w:space="0" w:color="auto"/>
        <w:bottom w:val="none" w:sz="0" w:space="0" w:color="auto"/>
        <w:right w:val="none" w:sz="0" w:space="0" w:color="auto"/>
      </w:divBdr>
    </w:div>
    <w:div w:id="2076658800">
      <w:bodyDiv w:val="1"/>
      <w:marLeft w:val="0"/>
      <w:marRight w:val="0"/>
      <w:marTop w:val="0"/>
      <w:marBottom w:val="0"/>
      <w:divBdr>
        <w:top w:val="none" w:sz="0" w:space="0" w:color="auto"/>
        <w:left w:val="none" w:sz="0" w:space="0" w:color="auto"/>
        <w:bottom w:val="none" w:sz="0" w:space="0" w:color="auto"/>
        <w:right w:val="none" w:sz="0" w:space="0" w:color="auto"/>
      </w:divBdr>
    </w:div>
    <w:div w:id="21131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63B9-6489-45A2-BEFA-6315AC58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galementzer@gmail.com</dc:creator>
  <cp:keywords/>
  <dc:description/>
  <cp:lastModifiedBy>Czerniak, Charlene M.</cp:lastModifiedBy>
  <cp:revision>64</cp:revision>
  <dcterms:created xsi:type="dcterms:W3CDTF">2022-02-08T21:59:00Z</dcterms:created>
  <dcterms:modified xsi:type="dcterms:W3CDTF">2022-05-02T16:54:00Z</dcterms:modified>
</cp:coreProperties>
</file>