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18E3E" w14:textId="77777777" w:rsidR="007024E1" w:rsidRPr="000C3EBB" w:rsidRDefault="007024E1" w:rsidP="007024E1">
      <w:pPr>
        <w:spacing w:after="0" w:line="240" w:lineRule="auto"/>
        <w:rPr>
          <w:rFonts w:ascii="Source Sans Pro" w:hAnsi="Source Sans Pro" w:cs="Arial"/>
          <w:b/>
          <w:color w:val="002060"/>
          <w:sz w:val="24"/>
          <w:szCs w:val="24"/>
        </w:rPr>
      </w:pPr>
    </w:p>
    <w:p w14:paraId="7C240617" w14:textId="77777777" w:rsidR="000C3EBB" w:rsidRPr="000C3EBB" w:rsidRDefault="000C3EBB" w:rsidP="000C3EBB">
      <w:pPr>
        <w:spacing w:after="0" w:line="240" w:lineRule="auto"/>
        <w:rPr>
          <w:rFonts w:ascii="Source Sans Pro" w:hAnsi="Source Sans Pro" w:cs="Arial"/>
          <w:sz w:val="24"/>
          <w:szCs w:val="24"/>
        </w:rPr>
      </w:pPr>
      <w:r w:rsidRPr="000C3EBB">
        <w:rPr>
          <w:rFonts w:ascii="Source Sans Pro" w:hAnsi="Source Sans Pro" w:cs="Arial"/>
          <w:b/>
          <w:color w:val="002060"/>
          <w:sz w:val="24"/>
          <w:szCs w:val="24"/>
        </w:rPr>
        <w:t>URL:</w:t>
      </w:r>
      <w:r w:rsidRPr="000C3EBB">
        <w:rPr>
          <w:rFonts w:ascii="Source Sans Pro" w:hAnsi="Source Sans Pro" w:cs="Arial"/>
          <w:color w:val="002060"/>
          <w:sz w:val="24"/>
          <w:szCs w:val="24"/>
        </w:rPr>
        <w:t xml:space="preserve"> </w:t>
      </w:r>
      <w:hyperlink r:id="rId7" w:history="1">
        <w:r w:rsidRPr="000C3EBB">
          <w:rPr>
            <w:rStyle w:val="Hyperlink"/>
            <w:rFonts w:ascii="Source Sans Pro" w:hAnsi="Source Sans Pro" w:cs="Arial"/>
            <w:sz w:val="24"/>
            <w:szCs w:val="24"/>
          </w:rPr>
          <w:t>http://www.utoledo.edu/med/depts/micro/cyto/</w:t>
        </w:r>
      </w:hyperlink>
    </w:p>
    <w:p w14:paraId="0D0A8D61" w14:textId="77777777" w:rsidR="000C3EBB" w:rsidRPr="000C3EBB" w:rsidRDefault="000C3EBB" w:rsidP="000C3EBB">
      <w:pPr>
        <w:spacing w:after="0" w:line="240" w:lineRule="auto"/>
        <w:rPr>
          <w:rFonts w:ascii="Source Sans Pro" w:hAnsi="Source Sans Pro" w:cs="Arial"/>
          <w:sz w:val="24"/>
          <w:szCs w:val="24"/>
        </w:rPr>
      </w:pPr>
    </w:p>
    <w:p w14:paraId="68DE80CD" w14:textId="77777777" w:rsidR="000C3EBB" w:rsidRPr="000C3EBB" w:rsidRDefault="000C3EBB" w:rsidP="000C3EBB">
      <w:pPr>
        <w:tabs>
          <w:tab w:val="left" w:pos="1260"/>
          <w:tab w:val="left" w:pos="5310"/>
        </w:tabs>
        <w:spacing w:after="0"/>
        <w:rPr>
          <w:rFonts w:ascii="Source Sans Pro" w:hAnsi="Source Sans Pro" w:cs="Arial"/>
          <w:sz w:val="24"/>
          <w:szCs w:val="24"/>
        </w:rPr>
      </w:pPr>
      <w:r w:rsidRPr="000C3EBB">
        <w:rPr>
          <w:rFonts w:ascii="Source Sans Pro" w:hAnsi="Source Sans Pro" w:cs="Arial"/>
          <w:b/>
          <w:color w:val="002060"/>
          <w:sz w:val="24"/>
          <w:szCs w:val="24"/>
        </w:rPr>
        <w:t>Director</w:t>
      </w:r>
      <w:r w:rsidRPr="000C3EBB">
        <w:rPr>
          <w:rFonts w:ascii="Source Sans Pro" w:hAnsi="Source Sans Pro" w:cs="Arial"/>
          <w:color w:val="002060"/>
          <w:sz w:val="24"/>
          <w:szCs w:val="24"/>
        </w:rPr>
        <w:t xml:space="preserve">: </w:t>
      </w:r>
      <w:r w:rsidRPr="000C3EBB">
        <w:rPr>
          <w:rFonts w:ascii="Source Sans Pro" w:hAnsi="Source Sans Pro" w:cs="Arial"/>
          <w:color w:val="002060"/>
          <w:sz w:val="24"/>
          <w:szCs w:val="24"/>
        </w:rPr>
        <w:tab/>
      </w:r>
      <w:r w:rsidRPr="000C3EBB">
        <w:rPr>
          <w:rFonts w:ascii="Source Sans Pro" w:hAnsi="Source Sans Pro" w:cs="Arial"/>
          <w:sz w:val="24"/>
          <w:szCs w:val="24"/>
        </w:rPr>
        <w:t>Andrea L. Kalinoski, Ph.D.</w:t>
      </w:r>
      <w:r w:rsidRPr="000C3EBB">
        <w:rPr>
          <w:rFonts w:ascii="Source Sans Pro" w:hAnsi="Source Sans Pro" w:cs="Arial"/>
          <w:sz w:val="24"/>
          <w:szCs w:val="24"/>
        </w:rPr>
        <w:tab/>
        <w:t>David A. Weaver, D.D.S, Ph.D.</w:t>
      </w:r>
    </w:p>
    <w:p w14:paraId="3B002C03" w14:textId="77777777" w:rsidR="000C3EBB" w:rsidRPr="000C3EBB" w:rsidRDefault="000C3EBB" w:rsidP="000C3EBB">
      <w:pPr>
        <w:tabs>
          <w:tab w:val="left" w:pos="1260"/>
          <w:tab w:val="left" w:pos="5310"/>
        </w:tabs>
        <w:spacing w:after="0"/>
        <w:rPr>
          <w:rFonts w:ascii="Source Sans Pro" w:hAnsi="Source Sans Pro" w:cs="Arial"/>
          <w:i/>
          <w:sz w:val="24"/>
          <w:szCs w:val="24"/>
        </w:rPr>
      </w:pPr>
      <w:r w:rsidRPr="000C3EBB">
        <w:rPr>
          <w:rFonts w:ascii="Source Sans Pro" w:hAnsi="Source Sans Pro" w:cs="Arial"/>
          <w:sz w:val="24"/>
          <w:szCs w:val="24"/>
        </w:rPr>
        <w:tab/>
      </w:r>
      <w:r w:rsidRPr="000C3EBB">
        <w:rPr>
          <w:rFonts w:ascii="Source Sans Pro" w:hAnsi="Source Sans Pro" w:cs="Arial"/>
          <w:i/>
          <w:sz w:val="24"/>
          <w:szCs w:val="24"/>
        </w:rPr>
        <w:t>Associate Professor</w:t>
      </w:r>
      <w:r w:rsidRPr="000C3EBB">
        <w:rPr>
          <w:rFonts w:ascii="Source Sans Pro" w:hAnsi="Source Sans Pro" w:cs="Arial"/>
          <w:i/>
          <w:sz w:val="24"/>
          <w:szCs w:val="24"/>
        </w:rPr>
        <w:tab/>
        <w:t>Assistant Professor</w:t>
      </w:r>
    </w:p>
    <w:p w14:paraId="10A54C61" w14:textId="77777777" w:rsidR="000C3EBB" w:rsidRPr="000C3EBB" w:rsidRDefault="000C3EBB" w:rsidP="000C3EBB">
      <w:pPr>
        <w:tabs>
          <w:tab w:val="left" w:pos="1260"/>
          <w:tab w:val="left" w:pos="5310"/>
        </w:tabs>
        <w:spacing w:after="0"/>
        <w:rPr>
          <w:rFonts w:ascii="Source Sans Pro" w:hAnsi="Source Sans Pro" w:cs="Arial"/>
          <w:sz w:val="24"/>
          <w:szCs w:val="24"/>
        </w:rPr>
      </w:pPr>
      <w:r w:rsidRPr="000C3EBB">
        <w:rPr>
          <w:rFonts w:ascii="Source Sans Pro" w:hAnsi="Source Sans Pro" w:cs="Arial"/>
          <w:sz w:val="24"/>
          <w:szCs w:val="24"/>
        </w:rPr>
        <w:tab/>
        <w:t>419.383.4205 Office Phone</w:t>
      </w:r>
      <w:r w:rsidRPr="000C3EBB">
        <w:rPr>
          <w:rFonts w:ascii="Source Sans Pro" w:hAnsi="Source Sans Pro" w:cs="Arial"/>
          <w:sz w:val="24"/>
          <w:szCs w:val="24"/>
        </w:rPr>
        <w:tab/>
        <w:t>419.383.3402 Office Phone</w:t>
      </w:r>
    </w:p>
    <w:p w14:paraId="306FDE2F" w14:textId="77777777" w:rsidR="000C3EBB" w:rsidRPr="000C3EBB" w:rsidRDefault="000C3EBB" w:rsidP="000C3EBB">
      <w:pPr>
        <w:tabs>
          <w:tab w:val="left" w:pos="1260"/>
          <w:tab w:val="left" w:pos="5310"/>
        </w:tabs>
        <w:spacing w:after="0"/>
        <w:rPr>
          <w:rFonts w:ascii="Source Sans Pro" w:hAnsi="Source Sans Pro" w:cs="Arial"/>
          <w:sz w:val="24"/>
          <w:szCs w:val="24"/>
        </w:rPr>
      </w:pPr>
      <w:r w:rsidRPr="000C3EBB">
        <w:rPr>
          <w:rFonts w:ascii="Source Sans Pro" w:hAnsi="Source Sans Pro" w:cs="Arial"/>
          <w:sz w:val="24"/>
          <w:szCs w:val="24"/>
        </w:rPr>
        <w:tab/>
        <w:t>419.383.6230 Fax</w:t>
      </w:r>
      <w:r w:rsidRPr="000C3EBB">
        <w:rPr>
          <w:rFonts w:ascii="Source Sans Pro" w:hAnsi="Source Sans Pro" w:cs="Arial"/>
          <w:sz w:val="24"/>
          <w:szCs w:val="24"/>
        </w:rPr>
        <w:tab/>
        <w:t>419.383.6230 Fax</w:t>
      </w:r>
    </w:p>
    <w:p w14:paraId="4EAB8CB6" w14:textId="77777777" w:rsidR="000C3EBB" w:rsidRPr="000C3EBB" w:rsidRDefault="000C3EBB" w:rsidP="000C3EBB">
      <w:pPr>
        <w:tabs>
          <w:tab w:val="left" w:pos="1260"/>
          <w:tab w:val="left" w:pos="5310"/>
        </w:tabs>
        <w:spacing w:after="0"/>
        <w:rPr>
          <w:rFonts w:ascii="Source Sans Pro" w:hAnsi="Source Sans Pro" w:cs="Arial"/>
          <w:sz w:val="24"/>
          <w:szCs w:val="24"/>
        </w:rPr>
      </w:pPr>
      <w:r w:rsidRPr="000C3EBB">
        <w:rPr>
          <w:rFonts w:ascii="Source Sans Pro" w:hAnsi="Source Sans Pro" w:cs="Arial"/>
          <w:sz w:val="24"/>
          <w:szCs w:val="24"/>
        </w:rPr>
        <w:tab/>
      </w:r>
      <w:hyperlink r:id="rId8" w:history="1">
        <w:r w:rsidRPr="000C3EBB">
          <w:rPr>
            <w:rStyle w:val="Hyperlink"/>
            <w:rFonts w:ascii="Source Sans Pro" w:hAnsi="Source Sans Pro" w:cs="Arial"/>
            <w:sz w:val="24"/>
            <w:szCs w:val="24"/>
          </w:rPr>
          <w:t>andrea.kalinoski@utoledo.edu</w:t>
        </w:r>
      </w:hyperlink>
      <w:r w:rsidRPr="000C3EBB">
        <w:rPr>
          <w:rFonts w:ascii="Source Sans Pro" w:hAnsi="Source Sans Pro" w:cs="Arial"/>
          <w:sz w:val="24"/>
          <w:szCs w:val="24"/>
        </w:rPr>
        <w:t xml:space="preserve"> </w:t>
      </w:r>
      <w:r w:rsidRPr="000C3EBB">
        <w:rPr>
          <w:rFonts w:ascii="Source Sans Pro" w:hAnsi="Source Sans Pro" w:cs="Arial"/>
          <w:sz w:val="24"/>
          <w:szCs w:val="24"/>
        </w:rPr>
        <w:tab/>
      </w:r>
      <w:hyperlink r:id="rId9" w:history="1">
        <w:r w:rsidRPr="000C3EBB">
          <w:rPr>
            <w:rStyle w:val="Hyperlink"/>
            <w:rFonts w:ascii="Source Sans Pro" w:hAnsi="Source Sans Pro" w:cs="Arial"/>
            <w:sz w:val="24"/>
            <w:szCs w:val="24"/>
          </w:rPr>
          <w:t>david.weaver@utoledo.edu</w:t>
        </w:r>
      </w:hyperlink>
    </w:p>
    <w:p w14:paraId="26420194" w14:textId="77777777" w:rsidR="000C3EBB" w:rsidRPr="000C3EBB" w:rsidRDefault="000C3EBB" w:rsidP="000C3EBB">
      <w:pPr>
        <w:tabs>
          <w:tab w:val="left" w:pos="1170"/>
          <w:tab w:val="left" w:pos="1260"/>
          <w:tab w:val="left" w:pos="5310"/>
        </w:tabs>
        <w:spacing w:after="0" w:line="240" w:lineRule="auto"/>
        <w:rPr>
          <w:rFonts w:ascii="Source Sans Pro" w:hAnsi="Source Sans Pro" w:cs="Arial"/>
          <w:color w:val="002060"/>
          <w:sz w:val="24"/>
          <w:szCs w:val="24"/>
        </w:rPr>
      </w:pPr>
      <w:r w:rsidRPr="000C3EBB">
        <w:rPr>
          <w:rFonts w:ascii="Source Sans Pro" w:hAnsi="Source Sans Pro" w:cs="Arial"/>
          <w:sz w:val="24"/>
          <w:szCs w:val="24"/>
        </w:rPr>
        <w:br/>
      </w:r>
      <w:r w:rsidRPr="000C3EBB">
        <w:rPr>
          <w:rFonts w:ascii="Source Sans Pro" w:hAnsi="Source Sans Pro" w:cs="Arial"/>
          <w:b/>
          <w:color w:val="002060"/>
          <w:sz w:val="24"/>
          <w:szCs w:val="24"/>
        </w:rPr>
        <w:t>Description</w:t>
      </w:r>
      <w:r w:rsidRPr="000C3EBB">
        <w:rPr>
          <w:rFonts w:ascii="Source Sans Pro" w:hAnsi="Source Sans Pro" w:cs="Arial"/>
          <w:color w:val="002060"/>
          <w:sz w:val="24"/>
          <w:szCs w:val="24"/>
        </w:rPr>
        <w:t xml:space="preserve"> </w:t>
      </w:r>
    </w:p>
    <w:p w14:paraId="4D434DFA" w14:textId="77777777" w:rsidR="000C3EBB" w:rsidRPr="000C3EBB" w:rsidRDefault="000C3EBB" w:rsidP="000C3EBB">
      <w:pPr>
        <w:spacing w:after="0"/>
        <w:rPr>
          <w:rFonts w:ascii="Source Sans Pro" w:hAnsi="Source Sans Pro" w:cs="Arial"/>
          <w:sz w:val="24"/>
          <w:szCs w:val="24"/>
        </w:rPr>
      </w:pPr>
      <w:r w:rsidRPr="000C3EBB">
        <w:rPr>
          <w:rFonts w:ascii="Source Sans Pro" w:hAnsi="Source Sans Pro" w:cs="Arial"/>
          <w:i/>
          <w:sz w:val="24"/>
          <w:szCs w:val="24"/>
        </w:rPr>
        <w:t>Square Footage</w:t>
      </w:r>
      <w:r w:rsidRPr="000C3EBB">
        <w:rPr>
          <w:rFonts w:ascii="Source Sans Pro" w:hAnsi="Source Sans Pro" w:cs="Arial"/>
          <w:sz w:val="24"/>
          <w:szCs w:val="24"/>
        </w:rPr>
        <w:t>: 150 square feet</w:t>
      </w:r>
      <w:r w:rsidRPr="000C3EBB">
        <w:rPr>
          <w:rFonts w:ascii="Source Sans Pro" w:hAnsi="Source Sans Pro" w:cs="Arial"/>
          <w:sz w:val="24"/>
          <w:szCs w:val="24"/>
        </w:rPr>
        <w:br/>
      </w:r>
    </w:p>
    <w:p w14:paraId="2A13470A" w14:textId="77777777" w:rsidR="000C3EBB" w:rsidRPr="000C3EBB" w:rsidRDefault="000C3EBB" w:rsidP="000C3EBB">
      <w:pPr>
        <w:spacing w:after="0"/>
        <w:rPr>
          <w:rFonts w:ascii="Source Sans Pro" w:hAnsi="Source Sans Pro" w:cs="Arial"/>
          <w:sz w:val="24"/>
          <w:szCs w:val="24"/>
        </w:rPr>
      </w:pPr>
      <w:r w:rsidRPr="000C3EBB">
        <w:rPr>
          <w:rFonts w:ascii="Source Sans Pro" w:hAnsi="Source Sans Pro" w:cs="Arial"/>
          <w:i/>
          <w:sz w:val="24"/>
          <w:szCs w:val="24"/>
        </w:rPr>
        <w:t>Facility Location</w:t>
      </w:r>
      <w:r w:rsidRPr="000C3EBB">
        <w:rPr>
          <w:rFonts w:ascii="Source Sans Pro" w:hAnsi="Source Sans Pro" w:cs="Arial"/>
          <w:sz w:val="24"/>
          <w:szCs w:val="24"/>
        </w:rPr>
        <w:t>: Health Science Campus, Health Education Building, Room 233A</w:t>
      </w:r>
      <w:r w:rsidRPr="000C3EBB">
        <w:rPr>
          <w:rFonts w:ascii="Source Sans Pro" w:hAnsi="Source Sans Pro" w:cs="Arial"/>
          <w:sz w:val="24"/>
          <w:szCs w:val="24"/>
        </w:rPr>
        <w:br/>
      </w:r>
    </w:p>
    <w:p w14:paraId="40990E98" w14:textId="0A3E1BE2" w:rsidR="000C3EBB" w:rsidRPr="000C3EBB" w:rsidRDefault="000C3EBB" w:rsidP="000C3EBB">
      <w:pPr>
        <w:spacing w:after="0"/>
        <w:rPr>
          <w:rFonts w:ascii="Source Sans Pro" w:hAnsi="Source Sans Pro" w:cs="Arial"/>
          <w:sz w:val="24"/>
          <w:szCs w:val="24"/>
        </w:rPr>
      </w:pPr>
      <w:r w:rsidRPr="000C3EBB">
        <w:rPr>
          <w:rFonts w:ascii="Source Sans Pro" w:hAnsi="Source Sans Pro" w:cs="Arial"/>
          <w:sz w:val="24"/>
          <w:szCs w:val="24"/>
        </w:rPr>
        <w:t xml:space="preserve">As one of </w:t>
      </w:r>
      <w:r w:rsidR="00DF56D6">
        <w:rPr>
          <w:rFonts w:ascii="Source Sans Pro" w:hAnsi="Source Sans Pro" w:cs="Arial"/>
          <w:sz w:val="24"/>
          <w:szCs w:val="24"/>
        </w:rPr>
        <w:t>T</w:t>
      </w:r>
      <w:r w:rsidRPr="000C3EBB">
        <w:rPr>
          <w:rFonts w:ascii="Source Sans Pro" w:hAnsi="Source Sans Pro" w:cs="Arial"/>
          <w:sz w:val="24"/>
          <w:szCs w:val="24"/>
        </w:rPr>
        <w:t>he University of Toledo's core laboratories, the Flow Cytometry Core Facility provides access to instrumentation, assistance, and guidance, and offers information on current cytometric methods and applications as well as on dyes, cytometric bead arrays, multi-color panel kits, and other reagents. This facility welcomes UT</w:t>
      </w:r>
      <w:r w:rsidR="00DF56D6">
        <w:rPr>
          <w:rFonts w:ascii="Source Sans Pro" w:hAnsi="Source Sans Pro" w:cs="Arial"/>
          <w:sz w:val="24"/>
          <w:szCs w:val="24"/>
        </w:rPr>
        <w:t>oledo</w:t>
      </w:r>
      <w:r w:rsidRPr="000C3EBB">
        <w:rPr>
          <w:rFonts w:ascii="Source Sans Pro" w:hAnsi="Source Sans Pro" w:cs="Arial"/>
          <w:sz w:val="24"/>
          <w:szCs w:val="24"/>
        </w:rPr>
        <w:t xml:space="preserve"> investigators from all campuses, and industrial researchers, technicians, and students from the surrounding community. </w:t>
      </w:r>
    </w:p>
    <w:p w14:paraId="4AD1AD64" w14:textId="77777777" w:rsidR="000C3EBB" w:rsidRPr="000C3EBB" w:rsidRDefault="000C3EBB" w:rsidP="000C3EBB">
      <w:pPr>
        <w:spacing w:after="0" w:line="240" w:lineRule="auto"/>
        <w:rPr>
          <w:rFonts w:ascii="Source Sans Pro" w:hAnsi="Source Sans Pro" w:cs="Arial"/>
          <w:sz w:val="24"/>
          <w:szCs w:val="24"/>
        </w:rPr>
      </w:pPr>
      <w:r w:rsidRPr="000C3EBB">
        <w:rPr>
          <w:rFonts w:ascii="Source Sans Pro" w:eastAsia="Times New Roman" w:hAnsi="Source Sans Pro" w:cs="Arial"/>
          <w:kern w:val="28"/>
          <w:sz w:val="24"/>
          <w:szCs w:val="24"/>
          <w14:cntxtAlts/>
        </w:rPr>
        <w:t xml:space="preserve">                                                                                                                                            </w:t>
      </w:r>
    </w:p>
    <w:p w14:paraId="68F5BCCD" w14:textId="77777777" w:rsidR="000C3EBB" w:rsidRPr="000C3EBB" w:rsidRDefault="000C3EBB" w:rsidP="000C3EBB">
      <w:pPr>
        <w:spacing w:after="0" w:line="240" w:lineRule="auto"/>
        <w:rPr>
          <w:rFonts w:ascii="Source Sans Pro" w:hAnsi="Source Sans Pro" w:cs="Arial"/>
          <w:color w:val="002060"/>
          <w:sz w:val="24"/>
          <w:szCs w:val="24"/>
        </w:rPr>
      </w:pPr>
      <w:r w:rsidRPr="000C3EBB">
        <w:rPr>
          <w:rFonts w:ascii="Source Sans Pro" w:hAnsi="Source Sans Pro" w:cs="Arial"/>
          <w:b/>
          <w:color w:val="002060"/>
          <w:sz w:val="24"/>
          <w:szCs w:val="24"/>
        </w:rPr>
        <w:t xml:space="preserve">Major Equipment </w:t>
      </w:r>
    </w:p>
    <w:p w14:paraId="3658FEC2" w14:textId="65524A81" w:rsidR="000C3EBB" w:rsidRPr="000C3EBB" w:rsidRDefault="000C3EBB" w:rsidP="000C3EBB">
      <w:pPr>
        <w:pStyle w:val="ListParagraph"/>
        <w:numPr>
          <w:ilvl w:val="0"/>
          <w:numId w:val="10"/>
        </w:numPr>
        <w:spacing w:after="0"/>
        <w:ind w:left="360"/>
        <w:rPr>
          <w:rFonts w:ascii="Source Sans Pro" w:hAnsi="Source Sans Pro" w:cs="Arial"/>
          <w:sz w:val="24"/>
          <w:szCs w:val="24"/>
        </w:rPr>
      </w:pPr>
      <w:r w:rsidRPr="000C3EBB">
        <w:rPr>
          <w:rFonts w:ascii="Source Sans Pro" w:hAnsi="Source Sans Pro" w:cs="Arial"/>
          <w:b/>
          <w:bCs/>
          <w:sz w:val="24"/>
          <w:szCs w:val="24"/>
        </w:rPr>
        <w:t xml:space="preserve">BD Biosciences </w:t>
      </w:r>
      <w:proofErr w:type="spellStart"/>
      <w:r w:rsidRPr="000C3EBB">
        <w:rPr>
          <w:rFonts w:ascii="Source Sans Pro" w:hAnsi="Source Sans Pro" w:cs="Arial"/>
          <w:b/>
          <w:bCs/>
          <w:sz w:val="24"/>
          <w:szCs w:val="24"/>
        </w:rPr>
        <w:t>FACSCalibur</w:t>
      </w:r>
      <w:proofErr w:type="spellEnd"/>
      <w:r w:rsidRPr="000C3EBB">
        <w:rPr>
          <w:rFonts w:ascii="Source Sans Pro" w:hAnsi="Source Sans Pro" w:cs="Arial"/>
          <w:sz w:val="24"/>
          <w:szCs w:val="24"/>
        </w:rPr>
        <w:t xml:space="preserve"> features 2 lasers: an Argon Blue (488nm Excitation) and a Red Diode (635nm Excitation).  The unit has 6 detectors: FSC – 488/10, SSC – 488/10, FL-1 – 530/30, FL-2 – 585/42, FL-4 – 661/16, FL-3 – 670LP and is capable of aggregate discrimination by the BD Doublet Discrimination Module.  Researchers are trained by the Flow Cytometry Core staff to use the machine for cell population(s) analysis at their convenience. </w:t>
      </w:r>
      <w:r>
        <w:rPr>
          <w:rFonts w:ascii="Source Sans Pro" w:hAnsi="Source Sans Pro" w:cs="Arial"/>
          <w:sz w:val="24"/>
          <w:szCs w:val="24"/>
        </w:rPr>
        <w:br/>
      </w:r>
    </w:p>
    <w:p w14:paraId="43A51BA3" w14:textId="77777777" w:rsidR="000C3EBB" w:rsidRDefault="000C3EBB" w:rsidP="000C3EBB">
      <w:pPr>
        <w:pStyle w:val="ListParagraph"/>
        <w:numPr>
          <w:ilvl w:val="0"/>
          <w:numId w:val="10"/>
        </w:numPr>
        <w:ind w:left="360"/>
        <w:rPr>
          <w:rFonts w:ascii="Source Sans Pro" w:hAnsi="Source Sans Pro" w:cs="Arial"/>
          <w:sz w:val="24"/>
          <w:szCs w:val="24"/>
        </w:rPr>
      </w:pPr>
      <w:r w:rsidRPr="000C3EBB">
        <w:rPr>
          <w:rFonts w:ascii="Source Sans Pro" w:hAnsi="Source Sans Pro" w:cs="Arial"/>
          <w:b/>
          <w:bCs/>
          <w:iCs/>
          <w:sz w:val="24"/>
          <w:szCs w:val="24"/>
        </w:rPr>
        <w:t xml:space="preserve">BD </w:t>
      </w:r>
      <w:proofErr w:type="spellStart"/>
      <w:r w:rsidRPr="000C3EBB">
        <w:rPr>
          <w:rFonts w:ascii="Source Sans Pro" w:hAnsi="Source Sans Pro" w:cs="Arial"/>
          <w:b/>
          <w:bCs/>
          <w:iCs/>
          <w:sz w:val="24"/>
          <w:szCs w:val="24"/>
        </w:rPr>
        <w:t>FACSAriaIIu</w:t>
      </w:r>
      <w:proofErr w:type="spellEnd"/>
      <w:r w:rsidRPr="000C3EBB">
        <w:rPr>
          <w:rFonts w:ascii="Source Sans Pro" w:hAnsi="Source Sans Pro" w:cs="Arial"/>
          <w:b/>
          <w:bCs/>
          <w:iCs/>
          <w:sz w:val="24"/>
          <w:szCs w:val="24"/>
        </w:rPr>
        <w:t xml:space="preserve"> High-Speed Cell Sorter</w:t>
      </w:r>
      <w:r w:rsidRPr="000C3EBB">
        <w:rPr>
          <w:rFonts w:ascii="Source Sans Pro" w:hAnsi="Source Sans Pro" w:cs="Arial"/>
          <w:iCs/>
          <w:sz w:val="24"/>
          <w:szCs w:val="24"/>
        </w:rPr>
        <w:t xml:space="preserve"> is equipped with 3 lasers: a Violet (407nm Excitation), an Argon Blue (488nm Excitation) and a Helium Neon Red (633nm Excitation).  The unit has 12 detectors.  For the 488nm Excitation, detectors available are FSC – 488/10, SSC – 488/10, 530/30 (515 – 545nm), 575/26 (562 – 588nm), 610/20 (600 – 620nm), 695/40 (675 – 715nm), 780/60 (750 – 810nm).  For the 633nm Excitation, detectors available are 660/20</w:t>
      </w:r>
      <w:r w:rsidRPr="000C3EBB">
        <w:rPr>
          <w:rFonts w:ascii="Source Sans Pro" w:hAnsi="Source Sans Pro" w:cs="Arial"/>
          <w:sz w:val="24"/>
          <w:szCs w:val="24"/>
        </w:rPr>
        <w:t xml:space="preserve"> (650 – 670nm), 730/45 (707 – 752nm), 780/60 (750 – 810nm). For the 407nm Excitation, detectors available are 450/40 (430 – 470nm), 530/30 (515 – 545nm).  The </w:t>
      </w:r>
      <w:proofErr w:type="spellStart"/>
      <w:r w:rsidRPr="000C3EBB">
        <w:rPr>
          <w:rFonts w:ascii="Source Sans Pro" w:hAnsi="Source Sans Pro" w:cs="Arial"/>
          <w:sz w:val="24"/>
          <w:szCs w:val="24"/>
        </w:rPr>
        <w:t>FACSAriaIIu</w:t>
      </w:r>
      <w:proofErr w:type="spellEnd"/>
      <w:r w:rsidRPr="000C3EBB">
        <w:rPr>
          <w:rFonts w:ascii="Source Sans Pro" w:hAnsi="Source Sans Pro" w:cs="Arial"/>
          <w:sz w:val="24"/>
          <w:szCs w:val="24"/>
        </w:rPr>
        <w:t xml:space="preserve"> is capable of a High-Speed Sort Rate up to ~25,000 events(cells)/second and is capable of aggregate discrimination by the BD Doublet Discrimination Module.  The unit has </w:t>
      </w:r>
      <w:proofErr w:type="gramStart"/>
      <w:r w:rsidRPr="000C3EBB">
        <w:rPr>
          <w:rFonts w:ascii="Source Sans Pro" w:hAnsi="Source Sans Pro" w:cs="Arial"/>
          <w:sz w:val="24"/>
          <w:szCs w:val="24"/>
        </w:rPr>
        <w:t>temperature controlled</w:t>
      </w:r>
      <w:proofErr w:type="gramEnd"/>
      <w:r w:rsidRPr="000C3EBB">
        <w:rPr>
          <w:rFonts w:ascii="Source Sans Pro" w:hAnsi="Source Sans Pro" w:cs="Arial"/>
          <w:sz w:val="24"/>
          <w:szCs w:val="24"/>
        </w:rPr>
        <w:t xml:space="preserve"> sample and sorting </w:t>
      </w:r>
    </w:p>
    <w:p w14:paraId="260B5064" w14:textId="77777777" w:rsidR="000C3EBB" w:rsidRDefault="000C3EBB" w:rsidP="000C3EBB">
      <w:pPr>
        <w:pStyle w:val="ListParagraph"/>
        <w:ind w:left="360"/>
        <w:rPr>
          <w:rFonts w:ascii="Source Sans Pro" w:hAnsi="Source Sans Pro" w:cs="Arial"/>
          <w:sz w:val="24"/>
          <w:szCs w:val="24"/>
        </w:rPr>
      </w:pPr>
    </w:p>
    <w:p w14:paraId="24DAF0A3" w14:textId="7B061DE8" w:rsidR="003B1172" w:rsidRPr="000C3EBB" w:rsidRDefault="000C3EBB" w:rsidP="000C3EBB">
      <w:pPr>
        <w:pStyle w:val="ListParagraph"/>
        <w:ind w:left="360"/>
        <w:rPr>
          <w:rFonts w:ascii="Source Sans Pro" w:hAnsi="Source Sans Pro" w:cs="Arial"/>
          <w:sz w:val="24"/>
          <w:szCs w:val="24"/>
        </w:rPr>
      </w:pPr>
      <w:r w:rsidRPr="000C3EBB">
        <w:rPr>
          <w:rFonts w:ascii="Source Sans Pro" w:hAnsi="Source Sans Pro" w:cs="Arial"/>
          <w:sz w:val="24"/>
          <w:szCs w:val="24"/>
        </w:rPr>
        <w:t xml:space="preserve">receptacles and a multi-well plate sorter with an Aerosol Management System to evacuate aerosolized particles from the </w:t>
      </w:r>
      <w:proofErr w:type="gramStart"/>
      <w:r w:rsidRPr="000C3EBB">
        <w:rPr>
          <w:rFonts w:ascii="Source Sans Pro" w:hAnsi="Source Sans Pro" w:cs="Arial"/>
          <w:sz w:val="24"/>
          <w:szCs w:val="24"/>
        </w:rPr>
        <w:t>sort</w:t>
      </w:r>
      <w:proofErr w:type="gramEnd"/>
      <w:r w:rsidRPr="000C3EBB">
        <w:rPr>
          <w:rFonts w:ascii="Source Sans Pro" w:hAnsi="Source Sans Pro" w:cs="Arial"/>
          <w:sz w:val="24"/>
          <w:szCs w:val="24"/>
        </w:rPr>
        <w:t xml:space="preserve"> chamber protecting the operator during routine sorting procedures.   This system can be used to isolate/separate cell types (or vesicular bodies), rare populations, as well as specific clones (post-transfection) for further cell culture or analysis/experimentation—if a population can be labeled, distinguished, and gated, it can be sorted.</w:t>
      </w:r>
    </w:p>
    <w:sectPr w:rsidR="003B1172" w:rsidRPr="000C3EBB">
      <w:headerReference w:type="default" r:id="rId10"/>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240B5" w14:textId="77777777" w:rsidR="008E58F2" w:rsidRDefault="008E58F2" w:rsidP="007E475C">
      <w:pPr>
        <w:spacing w:after="0" w:line="240" w:lineRule="auto"/>
      </w:pPr>
      <w:r>
        <w:separator/>
      </w:r>
    </w:p>
  </w:endnote>
  <w:endnote w:type="continuationSeparator" w:id="0">
    <w:p w14:paraId="291CF0BD" w14:textId="77777777" w:rsidR="008E58F2" w:rsidRDefault="008E58F2" w:rsidP="007E4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0DC60" w14:textId="77777777" w:rsidR="004F7E4D" w:rsidRDefault="004F7E4D" w:rsidP="00F03EF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1B1BB1" w14:textId="77777777" w:rsidR="004F7E4D" w:rsidRDefault="004F7E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2FF21" w14:textId="5A18245F" w:rsidR="004F7E4D" w:rsidRDefault="004F7E4D" w:rsidP="00F03EF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771F4">
      <w:rPr>
        <w:rStyle w:val="PageNumber"/>
        <w:noProof/>
      </w:rPr>
      <w:t>2</w:t>
    </w:r>
    <w:r>
      <w:rPr>
        <w:rStyle w:val="PageNumber"/>
      </w:rPr>
      <w:fldChar w:fldCharType="end"/>
    </w:r>
  </w:p>
  <w:p w14:paraId="32173B67" w14:textId="15758B5E" w:rsidR="004576F2"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41E0F" w14:textId="77777777" w:rsidR="008E58F2" w:rsidRDefault="008E58F2" w:rsidP="007E475C">
      <w:pPr>
        <w:spacing w:after="0" w:line="240" w:lineRule="auto"/>
      </w:pPr>
      <w:r>
        <w:separator/>
      </w:r>
    </w:p>
  </w:footnote>
  <w:footnote w:type="continuationSeparator" w:id="0">
    <w:p w14:paraId="351DE4A5" w14:textId="77777777" w:rsidR="008E58F2" w:rsidRDefault="008E58F2" w:rsidP="007E47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A9B71" w14:textId="77777777" w:rsidR="004566BD" w:rsidRDefault="004566BD" w:rsidP="004566BD">
    <w:pPr>
      <w:pStyle w:val="Header"/>
    </w:pPr>
    <w:r>
      <w:rPr>
        <w:noProof/>
      </w:rPr>
      <mc:AlternateContent>
        <mc:Choice Requires="wps">
          <w:drawing>
            <wp:anchor distT="0" distB="0" distL="114300" distR="114300" simplePos="0" relativeHeight="251659264" behindDoc="0" locked="0" layoutInCell="1" allowOverlap="1" wp14:anchorId="3AB9F280" wp14:editId="26BC3A20">
              <wp:simplePos x="0" y="0"/>
              <wp:positionH relativeFrom="column">
                <wp:posOffset>1456690</wp:posOffset>
              </wp:positionH>
              <wp:positionV relativeFrom="paragraph">
                <wp:posOffset>131156</wp:posOffset>
              </wp:positionV>
              <wp:extent cx="4575766" cy="298764"/>
              <wp:effectExtent l="0" t="0" r="0" b="0"/>
              <wp:wrapNone/>
              <wp:docPr id="2" name="Text Box 2"/>
              <wp:cNvGraphicFramePr/>
              <a:graphic xmlns:a="http://schemas.openxmlformats.org/drawingml/2006/main">
                <a:graphicData uri="http://schemas.microsoft.com/office/word/2010/wordprocessingShape">
                  <wps:wsp>
                    <wps:cNvSpPr txBox="1"/>
                    <wps:spPr>
                      <a:xfrm>
                        <a:off x="0" y="0"/>
                        <a:ext cx="4575766" cy="298764"/>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AE77A8" w14:textId="3EA53326" w:rsidR="004566BD" w:rsidRPr="00C421DC" w:rsidRDefault="000C3EBB" w:rsidP="004566BD">
                          <w:pPr>
                            <w:spacing w:after="0"/>
                            <w:jc w:val="right"/>
                            <w:rPr>
                              <w:rFonts w:ascii="Source Sans Pro" w:hAnsi="Source Sans Pro" w:cs="Arial"/>
                              <w:b/>
                              <w:smallCaps/>
                              <w:color w:val="002060"/>
                              <w:sz w:val="32"/>
                              <w:szCs w:val="32"/>
                            </w:rPr>
                          </w:pPr>
                          <w:r>
                            <w:rPr>
                              <w:rFonts w:ascii="Source Sans Pro" w:hAnsi="Source Sans Pro" w:cs="Arial"/>
                              <w:b/>
                              <w:smallCaps/>
                              <w:color w:val="002060"/>
                              <w:sz w:val="32"/>
                              <w:szCs w:val="32"/>
                            </w:rPr>
                            <w:t xml:space="preserve">Flow Cytometry Core </w:t>
                          </w:r>
                          <w:r w:rsidR="007024E1">
                            <w:rPr>
                              <w:rFonts w:ascii="Source Sans Pro" w:hAnsi="Source Sans Pro" w:cs="Arial"/>
                              <w:b/>
                              <w:smallCaps/>
                              <w:color w:val="002060"/>
                              <w:sz w:val="32"/>
                              <w:szCs w:val="32"/>
                            </w:rPr>
                            <w:t>Facility</w:t>
                          </w:r>
                        </w:p>
                        <w:p w14:paraId="5E312E50" w14:textId="77777777" w:rsidR="004566BD" w:rsidRDefault="004566BD" w:rsidP="004566BD">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B9F280" id="_x0000_t202" coordsize="21600,21600" o:spt="202" path="m,l,21600r21600,l21600,xe">
              <v:stroke joinstyle="miter"/>
              <v:path gradientshapeok="t" o:connecttype="rect"/>
            </v:shapetype>
            <v:shape id="Text Box 2" o:spid="_x0000_s1026" type="#_x0000_t202" style="position:absolute;margin-left:114.7pt;margin-top:10.35pt;width:360.3pt;height: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" filled="f" stroked="f">
              <v:textbox>
                <w:txbxContent>
                  <w:p w14:paraId="36AE77A8" w14:textId="3EA53326" w:rsidR="004566BD" w:rsidRPr="00C421DC" w:rsidRDefault="000C3EBB" w:rsidP="004566BD">
                    <w:pPr>
                      <w:spacing w:after="0"/>
                      <w:jc w:val="right"/>
                      <w:rPr>
                        <w:rFonts w:ascii="Source Sans Pro" w:hAnsi="Source Sans Pro" w:cs="Arial"/>
                        <w:b/>
                        <w:smallCaps/>
                        <w:color w:val="002060"/>
                        <w:sz w:val="32"/>
                        <w:szCs w:val="32"/>
                      </w:rPr>
                    </w:pPr>
                    <w:r>
                      <w:rPr>
                        <w:rFonts w:ascii="Source Sans Pro" w:hAnsi="Source Sans Pro" w:cs="Arial"/>
                        <w:b/>
                        <w:smallCaps/>
                        <w:color w:val="002060"/>
                        <w:sz w:val="32"/>
                        <w:szCs w:val="32"/>
                      </w:rPr>
                      <w:t xml:space="preserve">Flow Cytometry Core </w:t>
                    </w:r>
                    <w:r w:rsidR="007024E1">
                      <w:rPr>
                        <w:rFonts w:ascii="Source Sans Pro" w:hAnsi="Source Sans Pro" w:cs="Arial"/>
                        <w:b/>
                        <w:smallCaps/>
                        <w:color w:val="002060"/>
                        <w:sz w:val="32"/>
                        <w:szCs w:val="32"/>
                      </w:rPr>
                      <w:t>Facility</w:t>
                    </w:r>
                  </w:p>
                  <w:p w14:paraId="5E312E50" w14:textId="77777777" w:rsidR="004566BD" w:rsidRDefault="004566BD" w:rsidP="004566BD">
                    <w:pPr>
                      <w:jc w:val="right"/>
                    </w:pPr>
                  </w:p>
                </w:txbxContent>
              </v:textbox>
            </v:shape>
          </w:pict>
        </mc:Fallback>
      </mc:AlternateContent>
    </w:r>
    <w:r>
      <w:rPr>
        <w:noProof/>
      </w:rPr>
      <w:drawing>
        <wp:inline distT="0" distB="0" distL="0" distR="0" wp14:anchorId="29703B73" wp14:editId="51A57DDF">
          <wp:extent cx="1501655" cy="55226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Toledo_HORZ_Tag_White.jpg"/>
                  <pic:cNvPicPr/>
                </pic:nvPicPr>
                <pic:blipFill>
                  <a:blip r:embed="rId1">
                    <a:extLst>
                      <a:ext uri="{28A0092B-C50C-407E-A947-70E740481C1C}">
                        <a14:useLocalDpi xmlns:a14="http://schemas.microsoft.com/office/drawing/2010/main" val="0"/>
                      </a:ext>
                    </a:extLst>
                  </a:blip>
                  <a:stretch>
                    <a:fillRect/>
                  </a:stretch>
                </pic:blipFill>
                <pic:spPr>
                  <a:xfrm>
                    <a:off x="0" y="0"/>
                    <a:ext cx="1545871" cy="5685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61AB"/>
    <w:multiLevelType w:val="multilevel"/>
    <w:tmpl w:val="64F2F83C"/>
    <w:lvl w:ilvl="0">
      <w:start w:val="1"/>
      <w:numFmt w:val="decimal"/>
      <w:lvlText w:val="%1.0"/>
      <w:lvlJc w:val="left"/>
      <w:pPr>
        <w:ind w:left="400" w:hanging="400"/>
      </w:pPr>
      <w:rPr>
        <w:rFonts w:eastAsiaTheme="minorHAnsi" w:hint="default"/>
      </w:rPr>
    </w:lvl>
    <w:lvl w:ilvl="1">
      <w:start w:val="1"/>
      <w:numFmt w:val="decimal"/>
      <w:lvlText w:val="%1.%2"/>
      <w:lvlJc w:val="left"/>
      <w:pPr>
        <w:ind w:left="1120" w:hanging="400"/>
      </w:pPr>
      <w:rPr>
        <w:rFonts w:eastAsiaTheme="minorHAnsi" w:hint="default"/>
      </w:rPr>
    </w:lvl>
    <w:lvl w:ilvl="2">
      <w:start w:val="1"/>
      <w:numFmt w:val="decimal"/>
      <w:lvlText w:val="%1.%2.%3"/>
      <w:lvlJc w:val="left"/>
      <w:pPr>
        <w:ind w:left="2160" w:hanging="720"/>
      </w:pPr>
      <w:rPr>
        <w:rFonts w:eastAsiaTheme="minorHAnsi" w:hint="default"/>
      </w:rPr>
    </w:lvl>
    <w:lvl w:ilvl="3">
      <w:start w:val="1"/>
      <w:numFmt w:val="decimal"/>
      <w:lvlText w:val="%1.%2.%3.%4"/>
      <w:lvlJc w:val="left"/>
      <w:pPr>
        <w:ind w:left="3240" w:hanging="1080"/>
      </w:pPr>
      <w:rPr>
        <w:rFonts w:eastAsiaTheme="minorHAnsi" w:hint="default"/>
      </w:rPr>
    </w:lvl>
    <w:lvl w:ilvl="4">
      <w:start w:val="1"/>
      <w:numFmt w:val="decimal"/>
      <w:lvlText w:val="%1.%2.%3.%4.%5"/>
      <w:lvlJc w:val="left"/>
      <w:pPr>
        <w:ind w:left="3960" w:hanging="1080"/>
      </w:pPr>
      <w:rPr>
        <w:rFonts w:eastAsiaTheme="minorHAnsi" w:hint="default"/>
      </w:rPr>
    </w:lvl>
    <w:lvl w:ilvl="5">
      <w:start w:val="1"/>
      <w:numFmt w:val="decimal"/>
      <w:lvlText w:val="%1.%2.%3.%4.%5.%6"/>
      <w:lvlJc w:val="left"/>
      <w:pPr>
        <w:ind w:left="5040" w:hanging="1440"/>
      </w:pPr>
      <w:rPr>
        <w:rFonts w:eastAsiaTheme="minorHAnsi" w:hint="default"/>
      </w:rPr>
    </w:lvl>
    <w:lvl w:ilvl="6">
      <w:start w:val="1"/>
      <w:numFmt w:val="decimal"/>
      <w:lvlText w:val="%1.%2.%3.%4.%5.%6.%7"/>
      <w:lvlJc w:val="left"/>
      <w:pPr>
        <w:ind w:left="5760" w:hanging="1440"/>
      </w:pPr>
      <w:rPr>
        <w:rFonts w:eastAsiaTheme="minorHAnsi" w:hint="default"/>
      </w:rPr>
    </w:lvl>
    <w:lvl w:ilvl="7">
      <w:start w:val="1"/>
      <w:numFmt w:val="decimal"/>
      <w:lvlText w:val="%1.%2.%3.%4.%5.%6.%7.%8"/>
      <w:lvlJc w:val="left"/>
      <w:pPr>
        <w:ind w:left="6840" w:hanging="1800"/>
      </w:pPr>
      <w:rPr>
        <w:rFonts w:eastAsiaTheme="minorHAnsi" w:hint="default"/>
      </w:rPr>
    </w:lvl>
    <w:lvl w:ilvl="8">
      <w:start w:val="1"/>
      <w:numFmt w:val="decimal"/>
      <w:lvlText w:val="%1.%2.%3.%4.%5.%6.%7.%8.%9"/>
      <w:lvlJc w:val="left"/>
      <w:pPr>
        <w:ind w:left="7560" w:hanging="1800"/>
      </w:pPr>
      <w:rPr>
        <w:rFonts w:eastAsiaTheme="minorHAnsi" w:hint="default"/>
      </w:rPr>
    </w:lvl>
  </w:abstractNum>
  <w:abstractNum w:abstractNumId="1" w15:restartNumberingAfterBreak="0">
    <w:nsid w:val="0B626F02"/>
    <w:multiLevelType w:val="multilevel"/>
    <w:tmpl w:val="DEE20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0C056C"/>
    <w:multiLevelType w:val="hybridMultilevel"/>
    <w:tmpl w:val="9E3294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C70BD2"/>
    <w:multiLevelType w:val="hybridMultilevel"/>
    <w:tmpl w:val="3942E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C34BD6"/>
    <w:multiLevelType w:val="hybridMultilevel"/>
    <w:tmpl w:val="A7D04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042009"/>
    <w:multiLevelType w:val="hybridMultilevel"/>
    <w:tmpl w:val="71A2CB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761DD1"/>
    <w:multiLevelType w:val="hybridMultilevel"/>
    <w:tmpl w:val="2D08E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D46912"/>
    <w:multiLevelType w:val="hybridMultilevel"/>
    <w:tmpl w:val="30020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1D6CC6"/>
    <w:multiLevelType w:val="hybridMultilevel"/>
    <w:tmpl w:val="DF22C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5A0276"/>
    <w:multiLevelType w:val="hybridMultilevel"/>
    <w:tmpl w:val="0EBCC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CE4E3B"/>
    <w:multiLevelType w:val="hybridMultilevel"/>
    <w:tmpl w:val="C6A89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1429759">
    <w:abstractNumId w:val="8"/>
  </w:num>
  <w:num w:numId="2" w16cid:durableId="184908369">
    <w:abstractNumId w:val="10"/>
  </w:num>
  <w:num w:numId="3" w16cid:durableId="331878330">
    <w:abstractNumId w:val="4"/>
  </w:num>
  <w:num w:numId="4" w16cid:durableId="982077591">
    <w:abstractNumId w:val="7"/>
  </w:num>
  <w:num w:numId="5" w16cid:durableId="1699433423">
    <w:abstractNumId w:val="2"/>
  </w:num>
  <w:num w:numId="6" w16cid:durableId="1475835525">
    <w:abstractNumId w:val="5"/>
  </w:num>
  <w:num w:numId="7" w16cid:durableId="184491182">
    <w:abstractNumId w:val="3"/>
  </w:num>
  <w:num w:numId="8" w16cid:durableId="2067756764">
    <w:abstractNumId w:val="6"/>
  </w:num>
  <w:num w:numId="9" w16cid:durableId="1079207053">
    <w:abstractNumId w:val="0"/>
  </w:num>
  <w:num w:numId="10" w16cid:durableId="1400250083">
    <w:abstractNumId w:val="9"/>
  </w:num>
  <w:num w:numId="11" w16cid:durableId="156929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6F5"/>
    <w:rsid w:val="00025C54"/>
    <w:rsid w:val="000C3EBB"/>
    <w:rsid w:val="001406F9"/>
    <w:rsid w:val="00142B95"/>
    <w:rsid w:val="00160940"/>
    <w:rsid w:val="00173FD1"/>
    <w:rsid w:val="001B6071"/>
    <w:rsid w:val="001E546E"/>
    <w:rsid w:val="002058D3"/>
    <w:rsid w:val="002370D8"/>
    <w:rsid w:val="00245D1B"/>
    <w:rsid w:val="00247213"/>
    <w:rsid w:val="002A42F5"/>
    <w:rsid w:val="002C0D18"/>
    <w:rsid w:val="00301D16"/>
    <w:rsid w:val="003553E1"/>
    <w:rsid w:val="00396FAB"/>
    <w:rsid w:val="003B1172"/>
    <w:rsid w:val="004566BD"/>
    <w:rsid w:val="00456DEB"/>
    <w:rsid w:val="00486C47"/>
    <w:rsid w:val="004C0B9B"/>
    <w:rsid w:val="004D1711"/>
    <w:rsid w:val="004E171F"/>
    <w:rsid w:val="004E4BC9"/>
    <w:rsid w:val="004F7E4D"/>
    <w:rsid w:val="005201BA"/>
    <w:rsid w:val="00564072"/>
    <w:rsid w:val="005709DA"/>
    <w:rsid w:val="005914D2"/>
    <w:rsid w:val="005D1489"/>
    <w:rsid w:val="005D671F"/>
    <w:rsid w:val="00624D10"/>
    <w:rsid w:val="00651AC1"/>
    <w:rsid w:val="006623B1"/>
    <w:rsid w:val="00662D3A"/>
    <w:rsid w:val="00694138"/>
    <w:rsid w:val="006A2AC1"/>
    <w:rsid w:val="006A76C5"/>
    <w:rsid w:val="006C72D9"/>
    <w:rsid w:val="006E6868"/>
    <w:rsid w:val="007024E1"/>
    <w:rsid w:val="00744023"/>
    <w:rsid w:val="00744206"/>
    <w:rsid w:val="0076397F"/>
    <w:rsid w:val="007D6BB6"/>
    <w:rsid w:val="007E475C"/>
    <w:rsid w:val="008A54C0"/>
    <w:rsid w:val="008A69D8"/>
    <w:rsid w:val="008B434C"/>
    <w:rsid w:val="008E58F2"/>
    <w:rsid w:val="009079B0"/>
    <w:rsid w:val="0094316F"/>
    <w:rsid w:val="009741A8"/>
    <w:rsid w:val="009B06F5"/>
    <w:rsid w:val="00A4168C"/>
    <w:rsid w:val="00A767A0"/>
    <w:rsid w:val="00AD7989"/>
    <w:rsid w:val="00AE659E"/>
    <w:rsid w:val="00B17933"/>
    <w:rsid w:val="00B2090C"/>
    <w:rsid w:val="00B8185D"/>
    <w:rsid w:val="00B92B4E"/>
    <w:rsid w:val="00BB5245"/>
    <w:rsid w:val="00C35702"/>
    <w:rsid w:val="00C3675B"/>
    <w:rsid w:val="00C67738"/>
    <w:rsid w:val="00C771F4"/>
    <w:rsid w:val="00C927F7"/>
    <w:rsid w:val="00CD2A26"/>
    <w:rsid w:val="00D11E13"/>
    <w:rsid w:val="00D60D5C"/>
    <w:rsid w:val="00D90EBD"/>
    <w:rsid w:val="00DB2BF0"/>
    <w:rsid w:val="00DD483B"/>
    <w:rsid w:val="00DF56D6"/>
    <w:rsid w:val="00E4017D"/>
    <w:rsid w:val="00EE230B"/>
    <w:rsid w:val="00F26F1F"/>
    <w:rsid w:val="00F27A42"/>
    <w:rsid w:val="00F43FF5"/>
    <w:rsid w:val="00F451DF"/>
    <w:rsid w:val="00F95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F13757"/>
  <w15:docId w15:val="{67E60847-BAED-4290-96D5-178C29497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6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06F5"/>
    <w:rPr>
      <w:color w:val="0563C1" w:themeColor="hyperlink"/>
      <w:u w:val="single"/>
    </w:rPr>
  </w:style>
  <w:style w:type="paragraph" w:styleId="ListParagraph">
    <w:name w:val="List Paragraph"/>
    <w:basedOn w:val="Normal"/>
    <w:uiPriority w:val="34"/>
    <w:qFormat/>
    <w:rsid w:val="009B06F5"/>
    <w:pPr>
      <w:ind w:left="720"/>
      <w:contextualSpacing/>
    </w:pPr>
  </w:style>
  <w:style w:type="paragraph" w:styleId="Header">
    <w:name w:val="header"/>
    <w:basedOn w:val="Normal"/>
    <w:link w:val="HeaderChar"/>
    <w:uiPriority w:val="99"/>
    <w:unhideWhenUsed/>
    <w:rsid w:val="009B06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06F5"/>
  </w:style>
  <w:style w:type="paragraph" w:styleId="Footer">
    <w:name w:val="footer"/>
    <w:basedOn w:val="Normal"/>
    <w:link w:val="FooterChar"/>
    <w:uiPriority w:val="99"/>
    <w:unhideWhenUsed/>
    <w:rsid w:val="009B06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06F5"/>
  </w:style>
  <w:style w:type="paragraph" w:styleId="NormalWeb">
    <w:name w:val="Normal (Web)"/>
    <w:basedOn w:val="Normal"/>
    <w:uiPriority w:val="99"/>
    <w:unhideWhenUsed/>
    <w:rsid w:val="00F26F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14px">
    <w:name w:val="font14px"/>
    <w:basedOn w:val="DefaultParagraphFont"/>
    <w:rsid w:val="00F26F1F"/>
  </w:style>
  <w:style w:type="character" w:styleId="Strong">
    <w:name w:val="Strong"/>
    <w:basedOn w:val="DefaultParagraphFont"/>
    <w:uiPriority w:val="22"/>
    <w:qFormat/>
    <w:rsid w:val="00F26F1F"/>
    <w:rPr>
      <w:b/>
      <w:bCs/>
    </w:rPr>
  </w:style>
  <w:style w:type="table" w:styleId="TableGrid">
    <w:name w:val="Table Grid"/>
    <w:basedOn w:val="TableNormal"/>
    <w:uiPriority w:val="39"/>
    <w:rsid w:val="007639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4F7E4D"/>
  </w:style>
  <w:style w:type="paragraph" w:styleId="BodyText3">
    <w:name w:val="Body Text 3"/>
    <w:basedOn w:val="Normal"/>
    <w:link w:val="BodyText3Char"/>
    <w:rsid w:val="004E171F"/>
    <w:pPr>
      <w:widowControl w:val="0"/>
      <w:autoSpaceDE w:val="0"/>
      <w:autoSpaceDN w:val="0"/>
      <w:adjustRightInd w:val="0"/>
      <w:spacing w:after="0" w:line="240" w:lineRule="auto"/>
    </w:pPr>
    <w:rPr>
      <w:rFonts w:ascii="Times New Roman" w:eastAsia="Times New Roman" w:hAnsi="Times New Roman" w:cs="Times New Roman"/>
      <w:szCs w:val="24"/>
    </w:rPr>
  </w:style>
  <w:style w:type="character" w:customStyle="1" w:styleId="BodyText3Char">
    <w:name w:val="Body Text 3 Char"/>
    <w:basedOn w:val="DefaultParagraphFont"/>
    <w:link w:val="BodyText3"/>
    <w:rsid w:val="004E171F"/>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2C0D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D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220421">
      <w:bodyDiv w:val="1"/>
      <w:marLeft w:val="0"/>
      <w:marRight w:val="0"/>
      <w:marTop w:val="0"/>
      <w:marBottom w:val="0"/>
      <w:divBdr>
        <w:top w:val="none" w:sz="0" w:space="0" w:color="auto"/>
        <w:left w:val="none" w:sz="0" w:space="0" w:color="auto"/>
        <w:bottom w:val="none" w:sz="0" w:space="0" w:color="auto"/>
        <w:right w:val="none" w:sz="0" w:space="0" w:color="auto"/>
      </w:divBdr>
    </w:div>
    <w:div w:id="1624924276">
      <w:bodyDiv w:val="1"/>
      <w:marLeft w:val="0"/>
      <w:marRight w:val="0"/>
      <w:marTop w:val="0"/>
      <w:marBottom w:val="0"/>
      <w:divBdr>
        <w:top w:val="none" w:sz="0" w:space="0" w:color="auto"/>
        <w:left w:val="none" w:sz="0" w:space="0" w:color="auto"/>
        <w:bottom w:val="none" w:sz="0" w:space="0" w:color="auto"/>
        <w:right w:val="none" w:sz="0" w:space="0" w:color="auto"/>
      </w:divBdr>
    </w:div>
    <w:div w:id="2105805483">
      <w:bodyDiv w:val="1"/>
      <w:marLeft w:val="0"/>
      <w:marRight w:val="0"/>
      <w:marTop w:val="0"/>
      <w:marBottom w:val="0"/>
      <w:divBdr>
        <w:top w:val="none" w:sz="0" w:space="0" w:color="auto"/>
        <w:left w:val="none" w:sz="0" w:space="0" w:color="auto"/>
        <w:bottom w:val="none" w:sz="0" w:space="0" w:color="auto"/>
        <w:right w:val="none" w:sz="0" w:space="0" w:color="auto"/>
      </w:divBdr>
      <w:divsChild>
        <w:div w:id="9061858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49829">
              <w:blockQuote w:val="1"/>
              <w:marLeft w:val="720"/>
              <w:marRight w:val="720"/>
              <w:marTop w:val="100"/>
              <w:marBottom w:val="100"/>
              <w:divBdr>
                <w:top w:val="none" w:sz="0" w:space="0" w:color="auto"/>
                <w:left w:val="none" w:sz="0" w:space="0" w:color="auto"/>
                <w:bottom w:val="none" w:sz="0" w:space="0" w:color="auto"/>
                <w:right w:val="none" w:sz="0" w:space="0" w:color="auto"/>
              </w:divBdr>
            </w:div>
            <w:div w:id="20761221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638025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02772356">
              <w:blockQuote w:val="1"/>
              <w:marLeft w:val="720"/>
              <w:marRight w:val="720"/>
              <w:marTop w:val="100"/>
              <w:marBottom w:val="100"/>
              <w:divBdr>
                <w:top w:val="none" w:sz="0" w:space="0" w:color="auto"/>
                <w:left w:val="none" w:sz="0" w:space="0" w:color="auto"/>
                <w:bottom w:val="none" w:sz="0" w:space="0" w:color="auto"/>
                <w:right w:val="none" w:sz="0" w:space="0" w:color="auto"/>
              </w:divBdr>
            </w:div>
            <w:div w:id="134297399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a.kalinoski@utoledo.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toledo.edu/med/depts/micro/cyto/"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avid.weaver@utoledo.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439</Words>
  <Characters>2507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The University of Toledo</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Bechaz, Scott</dc:creator>
  <cp:lastModifiedBy>Lammers, Kim</cp:lastModifiedBy>
  <cp:revision>3</cp:revision>
  <dcterms:created xsi:type="dcterms:W3CDTF">2020-01-29T21:07:00Z</dcterms:created>
  <dcterms:modified xsi:type="dcterms:W3CDTF">2023-10-24T13:43:00Z</dcterms:modified>
</cp:coreProperties>
</file>